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D5" w:rsidRPr="00CD2D71" w:rsidRDefault="004F70D5" w:rsidP="004F70D5">
      <w:pPr>
        <w:pStyle w:val="Nagwek2"/>
        <w:spacing w:before="240" w:after="240"/>
      </w:pPr>
      <w:r>
        <w:t>Opis UPS medyczny</w:t>
      </w:r>
    </w:p>
    <w:p w:rsidR="004F70D5" w:rsidRDefault="004F70D5" w:rsidP="004F70D5">
      <w:pPr>
        <w:rPr>
          <w:kern w:val="0"/>
        </w:rPr>
      </w:pPr>
      <w:bookmarkStart w:id="0" w:name="_Toc228855191"/>
      <w:bookmarkStart w:id="1" w:name="_Toc286413348"/>
      <w:bookmarkStart w:id="2" w:name="_Toc375389367"/>
      <w:r>
        <w:t>System UPS jest konstrukcyjnie przystosowany do działania zgodnie z następującymi normami europejskimi i światowymi:</w:t>
      </w:r>
    </w:p>
    <w:p w:rsidR="004F70D5" w:rsidRPr="00297914" w:rsidRDefault="004F70D5" w:rsidP="004F70D5">
      <w:pPr>
        <w:rPr>
          <w:kern w:val="0"/>
        </w:rPr>
      </w:pPr>
    </w:p>
    <w:p w:rsidR="004F70D5" w:rsidRDefault="004F70D5" w:rsidP="004F70D5">
      <w:pPr>
        <w:jc w:val="center"/>
      </w:pPr>
      <w:r>
        <w:t xml:space="preserve">Tabela </w:t>
      </w:r>
      <w:fldSimple w:instr=" SEQ Table \* ARABIC \s 1 ">
        <w:r>
          <w:rPr>
            <w:noProof/>
          </w:rPr>
          <w:t>1</w:t>
        </w:r>
      </w:fldSimple>
      <w:r>
        <w:t xml:space="preserve"> Zgodność z normami europejskimi i światowymi</w:t>
      </w:r>
    </w:p>
    <w:tbl>
      <w:tblPr>
        <w:tblW w:w="8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4261"/>
      </w:tblGrid>
      <w:tr w:rsidR="004F70D5" w:rsidRPr="00F640BD" w:rsidTr="007020AC">
        <w:trPr>
          <w:trHeight w:val="20"/>
          <w:jc w:val="center"/>
        </w:trPr>
        <w:tc>
          <w:tcPr>
            <w:tcW w:w="3826" w:type="dxa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F640BD" w:rsidRDefault="004F70D5" w:rsidP="007020AC">
            <w:pPr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Poz.</w:t>
            </w:r>
          </w:p>
        </w:tc>
        <w:tc>
          <w:tcPr>
            <w:tcW w:w="4261" w:type="dxa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F640BD" w:rsidRDefault="004F70D5" w:rsidP="007020AC">
            <w:pPr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Norma odniesienia</w:t>
            </w:r>
          </w:p>
        </w:tc>
      </w:tr>
      <w:tr w:rsidR="004F70D5" w:rsidRPr="00C01919" w:rsidTr="007020AC">
        <w:trPr>
          <w:trHeight w:val="59"/>
          <w:jc w:val="center"/>
        </w:trPr>
        <w:tc>
          <w:tcPr>
            <w:tcW w:w="3826" w:type="dxa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pPr>
              <w:rPr>
                <w:szCs w:val="21"/>
              </w:rPr>
            </w:pPr>
            <w:r>
              <w:t>Wymagania ogólne i wymagania dotyczące bezpieczeństwa UPS stosowanych w miejscach dostępnych dla operatorów</w:t>
            </w:r>
          </w:p>
        </w:tc>
        <w:tc>
          <w:tcPr>
            <w:tcW w:w="4261" w:type="dxa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pPr>
              <w:rPr>
                <w:szCs w:val="21"/>
              </w:rPr>
            </w:pPr>
            <w:r>
              <w:t>EN50091-1-1/IEC62040-1-1/AS 62040-1-1</w:t>
            </w:r>
          </w:p>
        </w:tc>
      </w:tr>
      <w:tr w:rsidR="004F70D5" w:rsidRPr="00C01919" w:rsidTr="007020AC">
        <w:trPr>
          <w:trHeight w:val="59"/>
          <w:jc w:val="center"/>
        </w:trPr>
        <w:tc>
          <w:tcPr>
            <w:tcW w:w="3826" w:type="dxa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pPr>
              <w:rPr>
                <w:szCs w:val="21"/>
              </w:rPr>
            </w:pPr>
            <w:r>
              <w:t>Wymagania dotyczące kompatybilności elektromagnetycznej (EMC) systemów zasilania awaryjnego</w:t>
            </w:r>
          </w:p>
        </w:tc>
        <w:tc>
          <w:tcPr>
            <w:tcW w:w="4261" w:type="dxa"/>
            <w:tcMar>
              <w:left w:w="108" w:type="dxa"/>
              <w:right w:w="108" w:type="dxa"/>
            </w:tcMar>
            <w:vAlign w:val="center"/>
          </w:tcPr>
          <w:p w:rsidR="004F70D5" w:rsidRPr="00C6598A" w:rsidRDefault="004F70D5" w:rsidP="007020AC">
            <w:pPr>
              <w:rPr>
                <w:szCs w:val="21"/>
              </w:rPr>
            </w:pPr>
            <w:r>
              <w:t>EN50091-2/IEC62040-2/AS 62040-2(C3)</w:t>
            </w:r>
          </w:p>
        </w:tc>
      </w:tr>
      <w:tr w:rsidR="004F70D5" w:rsidRPr="00C01919" w:rsidTr="007020AC">
        <w:trPr>
          <w:trHeight w:val="59"/>
          <w:jc w:val="center"/>
        </w:trPr>
        <w:tc>
          <w:tcPr>
            <w:tcW w:w="3826" w:type="dxa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pPr>
              <w:rPr>
                <w:szCs w:val="21"/>
              </w:rPr>
            </w:pPr>
            <w:r>
              <w:t>Metoda określania właściwości i wymagania dotyczące badań systemów zasilania awaryjnego</w:t>
            </w:r>
          </w:p>
        </w:tc>
        <w:tc>
          <w:tcPr>
            <w:tcW w:w="4261" w:type="dxa"/>
            <w:tcMar>
              <w:left w:w="108" w:type="dxa"/>
              <w:right w:w="108" w:type="dxa"/>
            </w:tcMar>
            <w:vAlign w:val="center"/>
          </w:tcPr>
          <w:p w:rsidR="004F70D5" w:rsidRPr="00C6598A" w:rsidRDefault="004F70D5" w:rsidP="007020AC">
            <w:pPr>
              <w:rPr>
                <w:szCs w:val="21"/>
              </w:rPr>
            </w:pPr>
            <w:r>
              <w:t>EN50091-3/IEC62040-3/AS 62040-3(VFI SS 111)</w:t>
            </w:r>
          </w:p>
        </w:tc>
      </w:tr>
    </w:tbl>
    <w:p w:rsidR="004F70D5" w:rsidRDefault="004F70D5" w:rsidP="004F70D5"/>
    <w:p w:rsidR="004F70D5" w:rsidRPr="00CD2D71" w:rsidRDefault="004F70D5" w:rsidP="004F70D5">
      <w:pPr>
        <w:pStyle w:val="Nagwek2"/>
        <w:spacing w:before="240" w:after="240"/>
        <w:rPr>
          <w:kern w:val="0"/>
        </w:rPr>
      </w:pPr>
      <w:bookmarkStart w:id="3" w:name="_Toc440438935"/>
      <w:bookmarkStart w:id="4" w:name="_Toc517688297"/>
      <w:bookmarkEnd w:id="0"/>
      <w:bookmarkEnd w:id="1"/>
      <w:bookmarkEnd w:id="2"/>
      <w:r>
        <w:t>Właściwości środowiskowe</w:t>
      </w:r>
      <w:bookmarkEnd w:id="3"/>
      <w:bookmarkEnd w:id="4"/>
    </w:p>
    <w:p w:rsidR="004F70D5" w:rsidRDefault="004F70D5" w:rsidP="004F70D5">
      <w:pPr>
        <w:pStyle w:val="Legenda"/>
        <w:keepNext/>
        <w:jc w:val="center"/>
      </w:pPr>
      <w:r>
        <w:t xml:space="preserve">Tabela </w:t>
      </w:r>
      <w:fldSimple w:instr=" SEQ Table \* ARABIC \s 1 ">
        <w:r>
          <w:rPr>
            <w:noProof/>
          </w:rPr>
          <w:t>2</w:t>
        </w:r>
      </w:fldSimple>
      <w:r>
        <w:t xml:space="preserve"> </w:t>
      </w:r>
      <w:r>
        <w:rPr>
          <w:rFonts w:ascii="Times New Roman" w:hAnsi="Times New Roman"/>
          <w:sz w:val="21"/>
          <w:szCs w:val="21"/>
        </w:rPr>
        <w:t>Właściwości środowiskowe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6"/>
        <w:gridCol w:w="1127"/>
        <w:gridCol w:w="4889"/>
      </w:tblGrid>
      <w:tr w:rsidR="004F70D5" w:rsidRPr="00C01919" w:rsidTr="007020AC">
        <w:trPr>
          <w:trHeight w:val="136"/>
          <w:jc w:val="center"/>
        </w:trPr>
        <w:tc>
          <w:tcPr>
            <w:tcW w:w="2207" w:type="dxa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4F70D5" w:rsidRPr="00C01919" w:rsidRDefault="004F70D5" w:rsidP="007020AC">
            <w:pPr>
              <w:pStyle w:val="a1"/>
              <w:spacing w:line="280" w:lineRule="exact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Poz.</w:t>
            </w:r>
          </w:p>
        </w:tc>
        <w:tc>
          <w:tcPr>
            <w:tcW w:w="1118" w:type="dxa"/>
            <w:shd w:val="pct25" w:color="auto" w:fill="FFFFFF"/>
            <w:vAlign w:val="center"/>
          </w:tcPr>
          <w:p w:rsidR="004F70D5" w:rsidRPr="00C01919" w:rsidRDefault="004F70D5" w:rsidP="007020AC">
            <w:pPr>
              <w:pStyle w:val="a1"/>
              <w:spacing w:line="280" w:lineRule="exact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Jednostka</w:t>
            </w:r>
          </w:p>
        </w:tc>
        <w:tc>
          <w:tcPr>
            <w:tcW w:w="4897" w:type="dxa"/>
            <w:shd w:val="pct25" w:color="auto" w:fill="FFFFFF"/>
            <w:vAlign w:val="center"/>
          </w:tcPr>
          <w:p w:rsidR="004F70D5" w:rsidRPr="00C01919" w:rsidRDefault="004F70D5" w:rsidP="007020AC">
            <w:pPr>
              <w:pStyle w:val="a1"/>
              <w:spacing w:line="280" w:lineRule="exact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Wymagania</w:t>
            </w:r>
          </w:p>
        </w:tc>
      </w:tr>
      <w:tr w:rsidR="004F70D5" w:rsidRPr="00C01919" w:rsidTr="007020AC">
        <w:trPr>
          <w:trHeight w:val="273"/>
          <w:jc w:val="center"/>
        </w:trPr>
        <w:tc>
          <w:tcPr>
            <w:tcW w:w="2207" w:type="dxa"/>
            <w:shd w:val="pct25" w:color="auto" w:fill="FFFFFF"/>
            <w:vAlign w:val="center"/>
          </w:tcPr>
          <w:p w:rsidR="004F70D5" w:rsidRPr="00230863" w:rsidRDefault="004F70D5" w:rsidP="00230863">
            <w:r w:rsidRPr="00230863">
              <w:t>Poziom hałasu</w:t>
            </w:r>
          </w:p>
          <w:p w:rsidR="004F70D5" w:rsidRPr="00230863" w:rsidRDefault="004F70D5" w:rsidP="00230863">
            <w:r w:rsidRPr="00230863">
              <w:t xml:space="preserve"> w odległości 1 m</w:t>
            </w:r>
          </w:p>
        </w:tc>
        <w:tc>
          <w:tcPr>
            <w:tcW w:w="1118" w:type="dxa"/>
            <w:vAlign w:val="center"/>
          </w:tcPr>
          <w:p w:rsidR="004F70D5" w:rsidRPr="00230863" w:rsidRDefault="004F70D5" w:rsidP="00230863">
            <w:r w:rsidRPr="00230863">
              <w:t>dB</w:t>
            </w:r>
          </w:p>
        </w:tc>
        <w:tc>
          <w:tcPr>
            <w:tcW w:w="4897" w:type="dxa"/>
            <w:vAlign w:val="center"/>
          </w:tcPr>
          <w:p w:rsidR="004F70D5" w:rsidRPr="00230863" w:rsidRDefault="004F70D5" w:rsidP="00230863">
            <w:r w:rsidRPr="00230863">
              <w:t>65 dB przy 100% obciążenia, 62 dB przy 45% obciążenia</w:t>
            </w:r>
          </w:p>
        </w:tc>
      </w:tr>
      <w:tr w:rsidR="004F70D5" w:rsidRPr="00C01919" w:rsidTr="007020AC">
        <w:trPr>
          <w:trHeight w:val="277"/>
          <w:jc w:val="center"/>
        </w:trPr>
        <w:tc>
          <w:tcPr>
            <w:tcW w:w="2207" w:type="dxa"/>
            <w:shd w:val="pct25" w:color="auto" w:fill="FFFFFF"/>
            <w:vAlign w:val="center"/>
          </w:tcPr>
          <w:p w:rsidR="004F70D5" w:rsidRPr="00230863" w:rsidRDefault="004F70D5" w:rsidP="00230863">
            <w:r w:rsidRPr="00230863">
              <w:t>Wysokość n. p. m. podczas pracy</w:t>
            </w:r>
          </w:p>
        </w:tc>
        <w:tc>
          <w:tcPr>
            <w:tcW w:w="1118" w:type="dxa"/>
            <w:vAlign w:val="center"/>
          </w:tcPr>
          <w:p w:rsidR="004F70D5" w:rsidRPr="00230863" w:rsidRDefault="004F70D5" w:rsidP="00230863">
            <w:r w:rsidRPr="00230863">
              <w:t>m</w:t>
            </w:r>
          </w:p>
        </w:tc>
        <w:tc>
          <w:tcPr>
            <w:tcW w:w="4897" w:type="dxa"/>
            <w:vAlign w:val="center"/>
          </w:tcPr>
          <w:p w:rsidR="004F70D5" w:rsidRPr="00230863" w:rsidRDefault="004F70D5" w:rsidP="00230863">
            <w:r w:rsidRPr="00230863">
              <w:t>≤1000, zmniejszenie obciążenia o 1% na każde 100 m między 1000 m a 2000 m</w:t>
            </w:r>
          </w:p>
        </w:tc>
      </w:tr>
      <w:tr w:rsidR="004F70D5" w:rsidRPr="00C01919" w:rsidTr="007020AC">
        <w:trPr>
          <w:trHeight w:val="267"/>
          <w:jc w:val="center"/>
        </w:trPr>
        <w:tc>
          <w:tcPr>
            <w:tcW w:w="2207" w:type="dxa"/>
            <w:shd w:val="pct25" w:color="auto" w:fill="FFFFFF"/>
            <w:vAlign w:val="center"/>
          </w:tcPr>
          <w:p w:rsidR="004F70D5" w:rsidRPr="00230863" w:rsidRDefault="004F70D5" w:rsidP="00230863">
            <w:r w:rsidRPr="00230863">
              <w:t>Wilgotność względna</w:t>
            </w:r>
          </w:p>
        </w:tc>
        <w:tc>
          <w:tcPr>
            <w:tcW w:w="1118" w:type="dxa"/>
            <w:vAlign w:val="center"/>
          </w:tcPr>
          <w:p w:rsidR="004F70D5" w:rsidRPr="00230863" w:rsidRDefault="004F70D5" w:rsidP="00230863">
            <w:r w:rsidRPr="00230863">
              <w:t>％</w:t>
            </w:r>
            <w:r w:rsidRPr="00230863">
              <w:t>RH</w:t>
            </w:r>
          </w:p>
        </w:tc>
        <w:tc>
          <w:tcPr>
            <w:tcW w:w="4897" w:type="dxa"/>
            <w:vAlign w:val="center"/>
          </w:tcPr>
          <w:p w:rsidR="004F70D5" w:rsidRPr="00230863" w:rsidRDefault="004F70D5" w:rsidP="00230863">
            <w:r w:rsidRPr="00230863">
              <w:t>0–95, bez kondensacji</w:t>
            </w:r>
          </w:p>
        </w:tc>
      </w:tr>
      <w:tr w:rsidR="004F70D5" w:rsidRPr="00C01919" w:rsidTr="007020AC">
        <w:trPr>
          <w:trHeight w:val="271"/>
          <w:jc w:val="center"/>
        </w:trPr>
        <w:tc>
          <w:tcPr>
            <w:tcW w:w="2207" w:type="dxa"/>
            <w:shd w:val="pct25" w:color="auto" w:fill="FFFFFF"/>
            <w:vAlign w:val="center"/>
          </w:tcPr>
          <w:p w:rsidR="004F70D5" w:rsidRPr="00230863" w:rsidRDefault="004F70D5" w:rsidP="00230863">
            <w:r w:rsidRPr="00230863">
              <w:t>Temperatura robocza</w:t>
            </w:r>
          </w:p>
        </w:tc>
        <w:tc>
          <w:tcPr>
            <w:tcW w:w="1118" w:type="dxa"/>
            <w:vAlign w:val="center"/>
          </w:tcPr>
          <w:p w:rsidR="004F70D5" w:rsidRPr="00230863" w:rsidRDefault="004F70D5" w:rsidP="00230863">
            <w:r w:rsidRPr="00230863">
              <w:t>°C</w:t>
            </w:r>
          </w:p>
        </w:tc>
        <w:tc>
          <w:tcPr>
            <w:tcW w:w="4897" w:type="dxa"/>
            <w:vAlign w:val="center"/>
          </w:tcPr>
          <w:p w:rsidR="004F70D5" w:rsidRPr="00230863" w:rsidRDefault="004F70D5" w:rsidP="00230863">
            <w:r w:rsidRPr="00230863">
              <w:t>0–40, żywotność akumulatorów jest zmniejszana o połowę tyle razy, ile razy temperatura 20°C jest przekroczona o 10°C</w:t>
            </w:r>
          </w:p>
        </w:tc>
      </w:tr>
      <w:tr w:rsidR="004F70D5" w:rsidRPr="00C01919" w:rsidTr="007020AC">
        <w:trPr>
          <w:trHeight w:val="291"/>
          <w:jc w:val="center"/>
        </w:trPr>
        <w:tc>
          <w:tcPr>
            <w:tcW w:w="2207" w:type="dxa"/>
            <w:shd w:val="pct25" w:color="auto" w:fill="FFFFFF"/>
            <w:vAlign w:val="center"/>
          </w:tcPr>
          <w:p w:rsidR="004F70D5" w:rsidRPr="00230863" w:rsidRDefault="004F70D5" w:rsidP="00230863">
            <w:r w:rsidRPr="00230863">
              <w:t>Temperatura przechowywania zasilacza UPS</w:t>
            </w:r>
          </w:p>
        </w:tc>
        <w:tc>
          <w:tcPr>
            <w:tcW w:w="1118" w:type="dxa"/>
            <w:vAlign w:val="center"/>
          </w:tcPr>
          <w:p w:rsidR="004F70D5" w:rsidRPr="00230863" w:rsidRDefault="004F70D5" w:rsidP="00230863">
            <w:r w:rsidRPr="00230863">
              <w:t>°C</w:t>
            </w:r>
          </w:p>
        </w:tc>
        <w:tc>
          <w:tcPr>
            <w:tcW w:w="4897" w:type="dxa"/>
            <w:vAlign w:val="center"/>
          </w:tcPr>
          <w:p w:rsidR="004F70D5" w:rsidRPr="00230863" w:rsidRDefault="004F70D5" w:rsidP="00230863">
            <w:r w:rsidRPr="00230863">
              <w:t>-40</w:t>
            </w:r>
            <w:r w:rsidRPr="00230863">
              <w:t>～</w:t>
            </w:r>
            <w:r w:rsidRPr="00230863">
              <w:t>70</w:t>
            </w:r>
          </w:p>
        </w:tc>
      </w:tr>
      <w:tr w:rsidR="004F70D5" w:rsidRPr="00C01919" w:rsidTr="007020AC">
        <w:trPr>
          <w:trHeight w:val="251"/>
          <w:jc w:val="center"/>
        </w:trPr>
        <w:tc>
          <w:tcPr>
            <w:tcW w:w="2207" w:type="dxa"/>
            <w:shd w:val="pct25" w:color="auto" w:fill="FFFFFF"/>
            <w:vAlign w:val="center"/>
          </w:tcPr>
          <w:p w:rsidR="004F70D5" w:rsidRPr="00230863" w:rsidRDefault="004F70D5" w:rsidP="00230863">
            <w:r w:rsidRPr="00230863">
              <w:t>Zalecana temperatura przechowywania akumulatorów</w:t>
            </w:r>
          </w:p>
        </w:tc>
        <w:tc>
          <w:tcPr>
            <w:tcW w:w="1118" w:type="dxa"/>
            <w:vAlign w:val="center"/>
          </w:tcPr>
          <w:p w:rsidR="004F70D5" w:rsidRPr="00230863" w:rsidRDefault="004F70D5" w:rsidP="00230863">
            <w:r w:rsidRPr="00230863">
              <w:t>°C</w:t>
            </w:r>
          </w:p>
        </w:tc>
        <w:tc>
          <w:tcPr>
            <w:tcW w:w="4897" w:type="dxa"/>
            <w:vAlign w:val="center"/>
          </w:tcPr>
          <w:p w:rsidR="004F70D5" w:rsidRPr="00230863" w:rsidRDefault="004F70D5" w:rsidP="00230863">
            <w:r w:rsidRPr="00230863">
              <w:t>-20</w:t>
            </w:r>
            <w:r w:rsidRPr="00230863">
              <w:t>～</w:t>
            </w:r>
            <w:r w:rsidRPr="00230863">
              <w:t>30</w:t>
            </w:r>
          </w:p>
        </w:tc>
      </w:tr>
    </w:tbl>
    <w:p w:rsidR="004F70D5" w:rsidRDefault="004F70D5" w:rsidP="004F70D5">
      <w:pPr>
        <w:pStyle w:val="a3"/>
        <w:ind w:left="0" w:firstLineChars="0" w:firstLine="0"/>
        <w:rPr>
          <w:rFonts w:ascii="Arial" w:hAnsi="Arial" w:cs="Arial"/>
        </w:rPr>
      </w:pPr>
    </w:p>
    <w:p w:rsidR="004F70D5" w:rsidRPr="00CD2D71" w:rsidRDefault="004F70D5" w:rsidP="004F70D5">
      <w:pPr>
        <w:pStyle w:val="Nagwek2"/>
        <w:spacing w:before="240" w:after="240"/>
        <w:rPr>
          <w:kern w:val="0"/>
        </w:rPr>
      </w:pPr>
      <w:bookmarkStart w:id="5" w:name="_Toc440438936"/>
      <w:bookmarkStart w:id="6" w:name="_Toc517688298"/>
      <w:r>
        <w:t xml:space="preserve">Właściwości </w:t>
      </w:r>
      <w:bookmarkStart w:id="7" w:name="OLE_LINK104"/>
      <w:r>
        <w:t>mechaniczne</w:t>
      </w:r>
      <w:bookmarkEnd w:id="5"/>
      <w:bookmarkEnd w:id="6"/>
      <w:bookmarkEnd w:id="7"/>
    </w:p>
    <w:p w:rsidR="004F70D5" w:rsidRDefault="004F70D5" w:rsidP="004F70D5">
      <w:pPr>
        <w:pStyle w:val="Legenda"/>
        <w:keepNext/>
        <w:jc w:val="center"/>
      </w:pPr>
      <w:r>
        <w:t xml:space="preserve">Tabela </w:t>
      </w:r>
      <w:fldSimple w:instr=" SEQ Table \* ARABIC \s 1 ">
        <w:r>
          <w:rPr>
            <w:noProof/>
          </w:rPr>
          <w:t>3</w:t>
        </w:r>
      </w:fldSimple>
      <w:r>
        <w:t xml:space="preserve"> Właściwości mechaniczne </w:t>
      </w:r>
      <w:r w:rsidR="00050423">
        <w:t>urządzenia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7"/>
        <w:gridCol w:w="997"/>
        <w:gridCol w:w="1295"/>
        <w:gridCol w:w="1295"/>
        <w:gridCol w:w="1940"/>
        <w:gridCol w:w="1938"/>
      </w:tblGrid>
      <w:tr w:rsidR="007E2316" w:rsidRPr="00BE0749" w:rsidTr="004F70D5">
        <w:trPr>
          <w:trHeight w:val="333"/>
          <w:jc w:val="center"/>
        </w:trPr>
        <w:tc>
          <w:tcPr>
            <w:tcW w:w="620" w:type="pct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7E2316" w:rsidRPr="00BE0749" w:rsidRDefault="007E2316" w:rsidP="007020AC">
            <w:pPr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585" w:type="pct"/>
            <w:shd w:val="pct25" w:color="auto" w:fill="FFFFFF"/>
            <w:vAlign w:val="center"/>
          </w:tcPr>
          <w:p w:rsidR="007E2316" w:rsidRPr="00BE0749" w:rsidRDefault="007E2316" w:rsidP="007020AC">
            <w:pPr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760" w:type="pct"/>
            <w:shd w:val="pct25" w:color="auto" w:fill="FFFFFF"/>
            <w:vAlign w:val="center"/>
          </w:tcPr>
          <w:p w:rsidR="007E2316" w:rsidRPr="00BE0749" w:rsidRDefault="007E2316" w:rsidP="007020AC">
            <w:pPr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0" w:type="pct"/>
            <w:shd w:val="pct25" w:color="auto" w:fill="FFFFFF"/>
            <w:vAlign w:val="center"/>
          </w:tcPr>
          <w:p w:rsidR="007E2316" w:rsidRPr="00BE0749" w:rsidRDefault="009F5237" w:rsidP="00756C41">
            <w:pPr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7E2316">
              <w:rPr>
                <w:b/>
                <w:bCs/>
                <w:sz w:val="18"/>
                <w:szCs w:val="18"/>
              </w:rPr>
              <w:t>0 kVA</w:t>
            </w:r>
          </w:p>
        </w:tc>
        <w:tc>
          <w:tcPr>
            <w:tcW w:w="1138" w:type="pct"/>
            <w:shd w:val="pct25" w:color="auto" w:fill="FFFFFF"/>
            <w:vAlign w:val="center"/>
          </w:tcPr>
          <w:p w:rsidR="007E2316" w:rsidRPr="00BE0749" w:rsidRDefault="007E2316" w:rsidP="00756C41">
            <w:pPr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7" w:type="pct"/>
            <w:shd w:val="pct25" w:color="auto" w:fill="FFFFFF"/>
            <w:vAlign w:val="center"/>
          </w:tcPr>
          <w:p w:rsidR="007E2316" w:rsidRPr="00BE0749" w:rsidRDefault="007E2316" w:rsidP="007020AC">
            <w:pPr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9F5237" w:rsidRPr="00BE0749" w:rsidTr="004F70D5">
        <w:trPr>
          <w:trHeight w:val="495"/>
          <w:jc w:val="center"/>
        </w:trPr>
        <w:tc>
          <w:tcPr>
            <w:tcW w:w="620" w:type="pct"/>
            <w:shd w:val="pct25" w:color="auto" w:fill="FFFFFF"/>
            <w:vAlign w:val="center"/>
          </w:tcPr>
          <w:p w:rsidR="009F5237" w:rsidRPr="00BE0749" w:rsidRDefault="009F5237" w:rsidP="007020AC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Wymiary (szer. x wys. x głęb.)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F5237" w:rsidRPr="00BE0749" w:rsidRDefault="009F5237" w:rsidP="007020AC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760" w:type="pct"/>
            <w:vAlign w:val="center"/>
          </w:tcPr>
          <w:p w:rsidR="009F5237" w:rsidRPr="00BE0749" w:rsidRDefault="009F5237" w:rsidP="007020AC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9F5237" w:rsidRPr="00BE0749" w:rsidRDefault="009F5237" w:rsidP="00A960CC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600*980*950</w:t>
            </w:r>
          </w:p>
        </w:tc>
        <w:tc>
          <w:tcPr>
            <w:tcW w:w="1138" w:type="pct"/>
            <w:vAlign w:val="center"/>
          </w:tcPr>
          <w:p w:rsidR="009F5237" w:rsidRPr="00BE0749" w:rsidRDefault="009F5237" w:rsidP="00756C41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9F5237" w:rsidRPr="00BE0749" w:rsidRDefault="009F5237" w:rsidP="007020AC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F5237" w:rsidRPr="00BE0749" w:rsidTr="004F70D5">
        <w:trPr>
          <w:trHeight w:val="315"/>
          <w:jc w:val="center"/>
        </w:trPr>
        <w:tc>
          <w:tcPr>
            <w:tcW w:w="620" w:type="pct"/>
            <w:shd w:val="pct25" w:color="auto" w:fill="FFFFFF"/>
            <w:vAlign w:val="center"/>
          </w:tcPr>
          <w:p w:rsidR="009F5237" w:rsidRPr="00BE0749" w:rsidRDefault="009F5237" w:rsidP="007020AC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Masa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F5237" w:rsidRPr="00BE0749" w:rsidRDefault="009F5237" w:rsidP="007020AC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760" w:type="pct"/>
            <w:vAlign w:val="center"/>
          </w:tcPr>
          <w:p w:rsidR="009F5237" w:rsidRPr="00BE0749" w:rsidRDefault="009F5237" w:rsidP="007020AC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9F5237" w:rsidRPr="00BE0749" w:rsidRDefault="009F5237" w:rsidP="00A960CC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138" w:type="pct"/>
            <w:vAlign w:val="center"/>
          </w:tcPr>
          <w:p w:rsidR="009F5237" w:rsidRPr="00BE0749" w:rsidRDefault="009F5237" w:rsidP="00756C41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9F5237" w:rsidRPr="00BE0749" w:rsidRDefault="009F5237" w:rsidP="007020AC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E2316" w:rsidRPr="00BE0749" w:rsidTr="004F70D5">
        <w:trPr>
          <w:trHeight w:val="315"/>
          <w:jc w:val="center"/>
        </w:trPr>
        <w:tc>
          <w:tcPr>
            <w:tcW w:w="620" w:type="pct"/>
            <w:shd w:val="pct25" w:color="auto" w:fill="FFFFFF"/>
            <w:vAlign w:val="center"/>
          </w:tcPr>
          <w:p w:rsidR="007E2316" w:rsidRPr="00BE0749" w:rsidRDefault="007E2316" w:rsidP="007020AC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Kolor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7E2316" w:rsidRPr="00BE0749" w:rsidRDefault="007E2316" w:rsidP="007020AC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795" w:type="pct"/>
            <w:gridSpan w:val="4"/>
            <w:vAlign w:val="center"/>
          </w:tcPr>
          <w:p w:rsidR="007E2316" w:rsidRPr="00BE0749" w:rsidRDefault="007E2316" w:rsidP="007020AC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Czarny</w:t>
            </w:r>
          </w:p>
        </w:tc>
      </w:tr>
      <w:tr w:rsidR="007E2316" w:rsidRPr="00BE0749" w:rsidTr="004F70D5">
        <w:trPr>
          <w:trHeight w:val="391"/>
          <w:jc w:val="center"/>
        </w:trPr>
        <w:tc>
          <w:tcPr>
            <w:tcW w:w="620" w:type="pct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7E2316" w:rsidRPr="00BE0749" w:rsidRDefault="007E2316" w:rsidP="007020AC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Stopień ochrony</w:t>
            </w:r>
          </w:p>
          <w:p w:rsidR="007E2316" w:rsidRPr="00BE0749" w:rsidRDefault="007E2316" w:rsidP="007020AC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(IEC 60529)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316" w:rsidRPr="00BE0749" w:rsidRDefault="007E2316" w:rsidP="007020AC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795" w:type="pct"/>
            <w:gridSpan w:val="4"/>
            <w:tcBorders>
              <w:bottom w:val="single" w:sz="4" w:space="0" w:color="auto"/>
            </w:tcBorders>
            <w:vAlign w:val="center"/>
          </w:tcPr>
          <w:p w:rsidR="007E2316" w:rsidRPr="00BE0749" w:rsidRDefault="007E2316" w:rsidP="007020AC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IP20</w:t>
            </w:r>
          </w:p>
        </w:tc>
      </w:tr>
    </w:tbl>
    <w:p w:rsidR="004F70D5" w:rsidRDefault="004F70D5" w:rsidP="004F70D5">
      <w:pPr>
        <w:pStyle w:val="a"/>
        <w:numPr>
          <w:ilvl w:val="6"/>
          <w:numId w:val="0"/>
        </w:numPr>
        <w:spacing w:before="0" w:after="0" w:line="280" w:lineRule="exact"/>
        <w:jc w:val="left"/>
        <w:rPr>
          <w:rFonts w:eastAsia="SimSun" w:cs="Arial"/>
          <w:sz w:val="18"/>
          <w:szCs w:val="18"/>
          <w:lang w:val="en-GB"/>
        </w:rPr>
      </w:pPr>
    </w:p>
    <w:p w:rsidR="004F70D5" w:rsidRDefault="004F70D5" w:rsidP="004F70D5">
      <w:pPr>
        <w:pStyle w:val="Legenda"/>
        <w:keepNext/>
        <w:jc w:val="center"/>
      </w:pPr>
      <w:r>
        <w:lastRenderedPageBreak/>
        <w:t xml:space="preserve">Tabela </w:t>
      </w:r>
      <w:fldSimple w:instr=" SEQ Table \* ARABIC \s 1 ">
        <w:r>
          <w:rPr>
            <w:noProof/>
          </w:rPr>
          <w:t>4</w:t>
        </w:r>
      </w:fldSimple>
      <w:r>
        <w:t xml:space="preserve"> Właściwości mechaniczne modułu mocy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2"/>
        <w:gridCol w:w="1000"/>
        <w:gridCol w:w="2300"/>
        <w:gridCol w:w="2178"/>
      </w:tblGrid>
      <w:tr w:rsidR="007E2316" w:rsidRPr="00C01919" w:rsidTr="007E2316">
        <w:trPr>
          <w:trHeight w:val="27"/>
          <w:jc w:val="center"/>
        </w:trPr>
        <w:tc>
          <w:tcPr>
            <w:tcW w:w="1785" w:type="pct"/>
            <w:tcBorders>
              <w:bottom w:val="single" w:sz="4" w:space="0" w:color="auto"/>
            </w:tcBorders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7E2316" w:rsidRPr="00CD2D71" w:rsidRDefault="007E2316" w:rsidP="007020AC">
            <w:pPr>
              <w:rPr>
                <w:color w:val="000000"/>
                <w:sz w:val="18"/>
                <w:szCs w:val="18"/>
              </w:rPr>
            </w:pPr>
            <w:r>
              <w:t>Model</w:t>
            </w:r>
          </w:p>
        </w:tc>
        <w:tc>
          <w:tcPr>
            <w:tcW w:w="587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7E2316" w:rsidRPr="00CD2D71" w:rsidRDefault="007E2316" w:rsidP="007020AC">
            <w:pPr>
              <w:rPr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bCs/>
                <w:sz w:val="18"/>
                <w:szCs w:val="18"/>
              </w:rPr>
              <w:t>Jednostka</w:t>
            </w:r>
          </w:p>
        </w:tc>
        <w:tc>
          <w:tcPr>
            <w:tcW w:w="1350" w:type="pct"/>
            <w:shd w:val="pct25" w:color="auto" w:fill="FFFFFF"/>
            <w:vAlign w:val="center"/>
          </w:tcPr>
          <w:p w:rsidR="007E2316" w:rsidRPr="00CD2D71" w:rsidRDefault="007E2316" w:rsidP="00756C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Moduł mocy 30 kVA</w:t>
            </w:r>
          </w:p>
        </w:tc>
        <w:tc>
          <w:tcPr>
            <w:tcW w:w="1278" w:type="pct"/>
            <w:shd w:val="pct25" w:color="auto" w:fill="FFFFFF"/>
            <w:vAlign w:val="center"/>
          </w:tcPr>
          <w:p w:rsidR="007E2316" w:rsidRPr="00CD2D71" w:rsidRDefault="007E2316" w:rsidP="007020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2316" w:rsidRPr="00C01919" w:rsidTr="007E2316">
        <w:trPr>
          <w:trHeight w:val="27"/>
          <w:jc w:val="center"/>
        </w:trPr>
        <w:tc>
          <w:tcPr>
            <w:tcW w:w="1785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7E2316" w:rsidRPr="00C01919" w:rsidRDefault="007E2316" w:rsidP="007020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Wymiary (szer. x wys. x głęb.)</w:t>
            </w:r>
          </w:p>
        </w:tc>
        <w:tc>
          <w:tcPr>
            <w:tcW w:w="587" w:type="pct"/>
            <w:tcMar>
              <w:left w:w="108" w:type="dxa"/>
              <w:right w:w="108" w:type="dxa"/>
            </w:tcMar>
            <w:vAlign w:val="center"/>
          </w:tcPr>
          <w:p w:rsidR="007E2316" w:rsidRPr="00C01919" w:rsidRDefault="007E2316" w:rsidP="007020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mm</w:t>
            </w:r>
          </w:p>
        </w:tc>
        <w:tc>
          <w:tcPr>
            <w:tcW w:w="1350" w:type="pct"/>
            <w:vAlign w:val="center"/>
          </w:tcPr>
          <w:p w:rsidR="007E2316" w:rsidRPr="00C01919" w:rsidRDefault="007E2316" w:rsidP="00756C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460×790×134</w:t>
            </w:r>
          </w:p>
        </w:tc>
        <w:tc>
          <w:tcPr>
            <w:tcW w:w="1278" w:type="pct"/>
            <w:vAlign w:val="center"/>
          </w:tcPr>
          <w:p w:rsidR="007E2316" w:rsidRPr="00C01919" w:rsidRDefault="007E2316" w:rsidP="007020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2316" w:rsidRPr="00C01919" w:rsidTr="007E2316">
        <w:trPr>
          <w:trHeight w:val="27"/>
          <w:jc w:val="center"/>
        </w:trPr>
        <w:tc>
          <w:tcPr>
            <w:tcW w:w="1785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7E2316" w:rsidRPr="00C01919" w:rsidRDefault="007E2316" w:rsidP="007020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Masa</w:t>
            </w:r>
          </w:p>
        </w:tc>
        <w:tc>
          <w:tcPr>
            <w:tcW w:w="587" w:type="pct"/>
            <w:tcMar>
              <w:left w:w="108" w:type="dxa"/>
              <w:right w:w="108" w:type="dxa"/>
            </w:tcMar>
            <w:vAlign w:val="center"/>
          </w:tcPr>
          <w:p w:rsidR="007E2316" w:rsidRPr="00C01919" w:rsidRDefault="007E2316" w:rsidP="007020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50" w:type="pct"/>
            <w:vAlign w:val="center"/>
          </w:tcPr>
          <w:p w:rsidR="007E2316" w:rsidRPr="00C01919" w:rsidRDefault="007E2316" w:rsidP="00756C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8" w:type="pct"/>
            <w:vAlign w:val="center"/>
          </w:tcPr>
          <w:p w:rsidR="007E2316" w:rsidRPr="00C01919" w:rsidRDefault="007E2316" w:rsidP="007020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F70D5" w:rsidRPr="006C57CC" w:rsidRDefault="004F70D5" w:rsidP="004F70D5">
      <w:pPr>
        <w:pStyle w:val="Nagwek2"/>
        <w:spacing w:before="240" w:after="240"/>
        <w:rPr>
          <w:kern w:val="0"/>
        </w:rPr>
      </w:pPr>
      <w:bookmarkStart w:id="8" w:name="_Toc440438937"/>
      <w:bookmarkStart w:id="9" w:name="_Toc517688299"/>
      <w:bookmarkStart w:id="10" w:name="_Toc228855193"/>
      <w:r>
        <w:t>Właściwości elektryczne</w:t>
      </w:r>
      <w:bookmarkEnd w:id="8"/>
      <w:bookmarkEnd w:id="9"/>
    </w:p>
    <w:p w:rsidR="004F70D5" w:rsidRDefault="004F70D5" w:rsidP="004F70D5">
      <w:pPr>
        <w:pStyle w:val="Nagwek3"/>
      </w:pPr>
      <w:bookmarkStart w:id="11" w:name="_Toc440438938"/>
      <w:bookmarkStart w:id="12" w:name="_Toc517688300"/>
      <w:r>
        <w:t>Właściwości elektryczne (wejście prostownika)</w:t>
      </w:r>
      <w:bookmarkEnd w:id="11"/>
      <w:bookmarkEnd w:id="12"/>
    </w:p>
    <w:p w:rsidR="004F70D5" w:rsidRDefault="004F70D5" w:rsidP="004F70D5">
      <w:pPr>
        <w:widowControl/>
        <w:rPr>
          <w:rFonts w:asciiTheme="majorHAnsi" w:eastAsia="SimHei" w:hAnsiTheme="majorHAnsi" w:cstheme="majorBidi"/>
          <w:sz w:val="20"/>
          <w:szCs w:val="20"/>
        </w:rPr>
      </w:pPr>
    </w:p>
    <w:p w:rsidR="004F70D5" w:rsidRDefault="004F70D5" w:rsidP="004F70D5">
      <w:pPr>
        <w:pStyle w:val="Legenda"/>
        <w:keepNext/>
        <w:jc w:val="center"/>
        <w:rPr>
          <w:rFonts w:ascii="Times New Roman" w:eastAsia="SimSun" w:hAnsi="Times New Roman"/>
          <w:kern w:val="0"/>
          <w:sz w:val="21"/>
          <w:szCs w:val="21"/>
        </w:rPr>
      </w:pPr>
      <w:r>
        <w:t xml:space="preserve">Tabela </w:t>
      </w:r>
      <w:fldSimple w:instr=" SEQ Table \* ARABIC \s 1 ">
        <w:r>
          <w:rPr>
            <w:noProof/>
          </w:rPr>
          <w:t>5</w:t>
        </w:r>
      </w:fldSimple>
      <w:r>
        <w:t xml:space="preserve"> </w:t>
      </w:r>
      <w:r>
        <w:rPr>
          <w:rFonts w:ascii="Times New Roman" w:hAnsi="Times New Roman"/>
          <w:sz w:val="21"/>
          <w:szCs w:val="21"/>
        </w:rPr>
        <w:t>Wejście sieciowe prostownika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1508"/>
        <w:gridCol w:w="4416"/>
      </w:tblGrid>
      <w:tr w:rsidR="004F70D5" w:rsidRPr="00EE3162" w:rsidTr="007020AC">
        <w:trPr>
          <w:trHeight w:val="84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Poz.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Jednostka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Parametr</w:t>
            </w:r>
          </w:p>
        </w:tc>
      </w:tr>
      <w:tr w:rsidR="004F70D5" w:rsidRPr="00EE3162" w:rsidTr="007020AC">
        <w:trPr>
          <w:trHeight w:val="84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Instalacja elektryczna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\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3 fazy + przewód neutralny + uziemienie</w:t>
            </w:r>
          </w:p>
        </w:tc>
      </w:tr>
      <w:tr w:rsidR="004F70D5" w:rsidRPr="00EE3162" w:rsidTr="007020AC">
        <w:trPr>
          <w:trHeight w:val="84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Znamionowe napięcie wejściowe prądu zmiennego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V AC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380/400/415 (trójfazowe i ze wspólnym przewodem neutralnym z wejściem bypassu)</w:t>
            </w:r>
          </w:p>
        </w:tc>
      </w:tr>
      <w:tr w:rsidR="004F70D5" w:rsidRPr="00EE3162" w:rsidTr="007020AC">
        <w:trPr>
          <w:trHeight w:val="84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Częstotliwość znamionowa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V AC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 xml:space="preserve">50/60 </w:t>
            </w:r>
            <w:proofErr w:type="spellStart"/>
            <w:r>
              <w:t>Hz</w:t>
            </w:r>
            <w:proofErr w:type="spellEnd"/>
          </w:p>
        </w:tc>
      </w:tr>
      <w:tr w:rsidR="004F70D5" w:rsidRPr="00EE3162" w:rsidTr="007020AC">
        <w:trPr>
          <w:trHeight w:val="84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Zakres napięcia wejściowego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V AC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304–478 V AC (międzyfazowe), pełne obciążenie</w:t>
            </w:r>
          </w:p>
          <w:p w:rsidR="004F70D5" w:rsidRPr="00315BBD" w:rsidRDefault="004F70D5" w:rsidP="007020AC">
            <w:pPr>
              <w:rPr>
                <w:kern w:val="0"/>
              </w:rPr>
            </w:pPr>
            <w:r>
              <w:t>228–304 V AC (międzyfazowe), liniowy spadek obciążenia stosownie do min. napięcia fazowego</w:t>
            </w:r>
          </w:p>
        </w:tc>
      </w:tr>
      <w:tr w:rsidR="004F70D5" w:rsidRPr="00EE3162" w:rsidTr="007020AC">
        <w:trPr>
          <w:trHeight w:val="84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Zakres częstotliwości wejściowej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proofErr w:type="spellStart"/>
            <w:r>
              <w:t>Hz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40~70</w:t>
            </w:r>
          </w:p>
        </w:tc>
      </w:tr>
      <w:tr w:rsidR="004F70D5" w:rsidRPr="00EE3162" w:rsidTr="007020AC">
        <w:trPr>
          <w:trHeight w:val="84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Wejściowy współczynnik mocy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PF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&gt;0,99</w:t>
            </w:r>
          </w:p>
        </w:tc>
      </w:tr>
      <w:tr w:rsidR="004F70D5" w:rsidRPr="00EE3162" w:rsidTr="007020AC">
        <w:trPr>
          <w:trHeight w:val="84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THDI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THDI%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&lt;3% (pełne obciążenie liniowe)</w:t>
            </w:r>
          </w:p>
        </w:tc>
      </w:tr>
    </w:tbl>
    <w:p w:rsidR="004F70D5" w:rsidRPr="00F94EDB" w:rsidRDefault="004F70D5" w:rsidP="004F70D5">
      <w:pPr>
        <w:pStyle w:val="Nagwek3"/>
      </w:pPr>
      <w:bookmarkStart w:id="13" w:name="_Toc440438939"/>
      <w:bookmarkStart w:id="14" w:name="_Toc517688301"/>
      <w:bookmarkEnd w:id="10"/>
      <w:r>
        <w:t>Właściwości elektryczne (pośredniczące łącze DC)</w:t>
      </w:r>
      <w:bookmarkEnd w:id="13"/>
      <w:bookmarkEnd w:id="14"/>
    </w:p>
    <w:p w:rsidR="004F70D5" w:rsidRDefault="004F70D5" w:rsidP="004F70D5">
      <w:pPr>
        <w:pStyle w:val="Legenda"/>
        <w:keepNext/>
        <w:jc w:val="center"/>
      </w:pPr>
      <w:r>
        <w:t xml:space="preserve">Tabela </w:t>
      </w:r>
      <w:fldSimple w:instr=" SEQ Table \* ARABIC \s 1 ">
        <w:r>
          <w:rPr>
            <w:noProof/>
          </w:rPr>
          <w:t>6</w:t>
        </w:r>
      </w:fldSimple>
      <w:r>
        <w:t xml:space="preserve"> </w:t>
      </w:r>
      <w:r>
        <w:rPr>
          <w:rFonts w:ascii="Times New Roman" w:hAnsi="Times New Roman"/>
          <w:sz w:val="21"/>
          <w:szCs w:val="21"/>
        </w:rPr>
        <w:t>Akumulatory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1324"/>
        <w:gridCol w:w="5152"/>
      </w:tblGrid>
      <w:tr w:rsidR="004F70D5" w:rsidRPr="00EE3162" w:rsidTr="004F70D5">
        <w:trPr>
          <w:trHeight w:val="59"/>
          <w:jc w:val="center"/>
        </w:trPr>
        <w:tc>
          <w:tcPr>
            <w:tcW w:w="1200" w:type="pct"/>
            <w:tcBorders>
              <w:bottom w:val="single" w:sz="4" w:space="0" w:color="auto"/>
            </w:tcBorders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D36E86" w:rsidRDefault="004F70D5" w:rsidP="007020AC">
            <w:pPr>
              <w:rPr>
                <w:iCs/>
                <w:kern w:val="0"/>
              </w:rPr>
            </w:pPr>
            <w:r>
              <w:t>Nazwa</w:t>
            </w:r>
          </w:p>
        </w:tc>
        <w:tc>
          <w:tcPr>
            <w:tcW w:w="777" w:type="pct"/>
            <w:shd w:val="pct25" w:color="auto" w:fill="FFFFFF"/>
            <w:vAlign w:val="center"/>
          </w:tcPr>
          <w:p w:rsidR="004F70D5" w:rsidRPr="00D36E86" w:rsidRDefault="004F70D5" w:rsidP="007020AC">
            <w:pPr>
              <w:rPr>
                <w:iCs/>
                <w:kern w:val="0"/>
              </w:rPr>
            </w:pPr>
            <w:r>
              <w:t>Jednostka</w:t>
            </w:r>
          </w:p>
        </w:tc>
        <w:tc>
          <w:tcPr>
            <w:tcW w:w="3023" w:type="pct"/>
            <w:shd w:val="pct25" w:color="auto" w:fill="FFFFFF"/>
            <w:vAlign w:val="center"/>
          </w:tcPr>
          <w:p w:rsidR="004F70D5" w:rsidRPr="00D36E86" w:rsidRDefault="004F70D5" w:rsidP="007020AC">
            <w:pPr>
              <w:rPr>
                <w:iCs/>
                <w:kern w:val="0"/>
              </w:rPr>
            </w:pPr>
            <w:r>
              <w:t>Parametry</w:t>
            </w:r>
          </w:p>
        </w:tc>
      </w:tr>
      <w:tr w:rsidR="004F70D5" w:rsidRPr="00EE3162" w:rsidTr="004F70D5">
        <w:trPr>
          <w:trHeight w:val="192"/>
          <w:jc w:val="center"/>
        </w:trPr>
        <w:tc>
          <w:tcPr>
            <w:tcW w:w="1200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Napięcie magistrali akumulatorów</w:t>
            </w:r>
          </w:p>
        </w:tc>
        <w:tc>
          <w:tcPr>
            <w:tcW w:w="777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V DC</w:t>
            </w:r>
          </w:p>
        </w:tc>
        <w:tc>
          <w:tcPr>
            <w:tcW w:w="3023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Znamionowe: ±240 V</w:t>
            </w:r>
          </w:p>
        </w:tc>
      </w:tr>
      <w:tr w:rsidR="004F70D5" w:rsidRPr="00EE3162" w:rsidTr="004F70D5">
        <w:trPr>
          <w:trHeight w:val="59"/>
          <w:jc w:val="center"/>
        </w:trPr>
        <w:tc>
          <w:tcPr>
            <w:tcW w:w="1200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Liczba ogniw kwasowo-ołowiowych</w:t>
            </w:r>
          </w:p>
        </w:tc>
        <w:tc>
          <w:tcPr>
            <w:tcW w:w="777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szt.</w:t>
            </w:r>
          </w:p>
        </w:tc>
        <w:tc>
          <w:tcPr>
            <w:tcW w:w="3023" w:type="pct"/>
            <w:vAlign w:val="center"/>
          </w:tcPr>
          <w:p w:rsidR="004F70D5" w:rsidRPr="009671FA" w:rsidRDefault="004F70D5" w:rsidP="004F70D5">
            <w:r>
              <w:t xml:space="preserve">36 do 44 [1 akumulator(12 V)] </w:t>
            </w:r>
          </w:p>
        </w:tc>
      </w:tr>
      <w:tr w:rsidR="004F70D5" w:rsidRPr="00294C4C" w:rsidTr="004F70D5">
        <w:trPr>
          <w:trHeight w:val="200"/>
          <w:jc w:val="center"/>
        </w:trPr>
        <w:tc>
          <w:tcPr>
            <w:tcW w:w="1200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Napięcie podładowania</w:t>
            </w:r>
          </w:p>
        </w:tc>
        <w:tc>
          <w:tcPr>
            <w:tcW w:w="777" w:type="pct"/>
            <w:tcMar>
              <w:left w:w="108" w:type="dxa"/>
              <w:right w:w="108" w:type="dxa"/>
            </w:tcMar>
            <w:vAlign w:val="center"/>
          </w:tcPr>
          <w:p w:rsidR="004F70D5" w:rsidRPr="00C6598A" w:rsidRDefault="004F70D5" w:rsidP="007020AC">
            <w:r>
              <w:t>V/ogniwo (VRLA)</w:t>
            </w:r>
          </w:p>
        </w:tc>
        <w:tc>
          <w:tcPr>
            <w:tcW w:w="3023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2,25 V/ogniwo (zakres regulacji od 2,2 do 2,35 V/ogniwo)</w:t>
            </w:r>
          </w:p>
          <w:p w:rsidR="004F70D5" w:rsidRPr="00C6598A" w:rsidRDefault="004F70D5" w:rsidP="007020AC">
            <w:r>
              <w:t>Tryb ładowania ze stałym prądem i stałym napięciem</w:t>
            </w:r>
          </w:p>
        </w:tc>
      </w:tr>
      <w:tr w:rsidR="004F70D5" w:rsidRPr="00333FE3" w:rsidTr="004F70D5">
        <w:trPr>
          <w:trHeight w:val="59"/>
          <w:jc w:val="center"/>
        </w:trPr>
        <w:tc>
          <w:tcPr>
            <w:tcW w:w="1200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Kompensacja temperaturowa</w:t>
            </w:r>
          </w:p>
        </w:tc>
        <w:tc>
          <w:tcPr>
            <w:tcW w:w="777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proofErr w:type="spellStart"/>
            <w:r>
              <w:t>mV</w:t>
            </w:r>
            <w:proofErr w:type="spellEnd"/>
            <w:r>
              <w:t>/</w:t>
            </w:r>
            <w:r>
              <w:rPr>
                <w:rFonts w:ascii="SimSun" w:hAnsi="SimSun"/>
              </w:rPr>
              <w:t>°C</w:t>
            </w:r>
            <w:r>
              <w:t>/cl</w:t>
            </w:r>
          </w:p>
        </w:tc>
        <w:tc>
          <w:tcPr>
            <w:tcW w:w="3023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3,0 (zakres regulacji: 0~5,0)</w:t>
            </w:r>
          </w:p>
        </w:tc>
      </w:tr>
      <w:tr w:rsidR="004F70D5" w:rsidRPr="00EE3162" w:rsidTr="004F70D5">
        <w:trPr>
          <w:trHeight w:val="59"/>
          <w:jc w:val="center"/>
        </w:trPr>
        <w:tc>
          <w:tcPr>
            <w:tcW w:w="1200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Napięcie tętniące</w:t>
            </w:r>
          </w:p>
        </w:tc>
        <w:tc>
          <w:tcPr>
            <w:tcW w:w="777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％</w:t>
            </w:r>
          </w:p>
        </w:tc>
        <w:tc>
          <w:tcPr>
            <w:tcW w:w="3023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≤1</w:t>
            </w:r>
          </w:p>
        </w:tc>
      </w:tr>
      <w:tr w:rsidR="004F70D5" w:rsidRPr="00EE3162" w:rsidTr="004F70D5">
        <w:trPr>
          <w:trHeight w:val="59"/>
          <w:jc w:val="center"/>
        </w:trPr>
        <w:tc>
          <w:tcPr>
            <w:tcW w:w="1200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Prąd tętniący</w:t>
            </w:r>
          </w:p>
        </w:tc>
        <w:tc>
          <w:tcPr>
            <w:tcW w:w="777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％</w:t>
            </w:r>
          </w:p>
        </w:tc>
        <w:tc>
          <w:tcPr>
            <w:tcW w:w="3023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≤5</w:t>
            </w:r>
          </w:p>
        </w:tc>
      </w:tr>
      <w:tr w:rsidR="004F70D5" w:rsidRPr="00E015AA" w:rsidTr="004F70D5">
        <w:trPr>
          <w:trHeight w:val="317"/>
          <w:jc w:val="center"/>
        </w:trPr>
        <w:tc>
          <w:tcPr>
            <w:tcW w:w="1200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Zrównoważone</w:t>
            </w:r>
          </w:p>
          <w:p w:rsidR="004F70D5" w:rsidRPr="009671FA" w:rsidRDefault="004F70D5" w:rsidP="007020AC">
            <w:r>
              <w:t>napięcie ładowania</w:t>
            </w:r>
          </w:p>
        </w:tc>
        <w:tc>
          <w:tcPr>
            <w:tcW w:w="777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VRLA</w:t>
            </w:r>
          </w:p>
        </w:tc>
        <w:tc>
          <w:tcPr>
            <w:tcW w:w="3023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 xml:space="preserve">2,4 V/ogniwo (zakres regulacji: 2,30–2,45 V/ogniwo) </w:t>
            </w:r>
          </w:p>
          <w:p w:rsidR="004F70D5" w:rsidRPr="00C6598A" w:rsidRDefault="004F70D5" w:rsidP="007020AC">
            <w:r>
              <w:t>Tryb ładowania ze stałym prądem i stałym napięciem</w:t>
            </w:r>
          </w:p>
        </w:tc>
      </w:tr>
      <w:tr w:rsidR="004F70D5" w:rsidRPr="00EE3162" w:rsidTr="004F70D5">
        <w:trPr>
          <w:trHeight w:val="894"/>
          <w:jc w:val="center"/>
        </w:trPr>
        <w:tc>
          <w:tcPr>
            <w:tcW w:w="1200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Końcowe</w:t>
            </w:r>
          </w:p>
          <w:p w:rsidR="004F70D5" w:rsidRPr="009671FA" w:rsidRDefault="004F70D5" w:rsidP="007020AC">
            <w:r>
              <w:t>napięcie wyładowania</w:t>
            </w:r>
          </w:p>
        </w:tc>
        <w:tc>
          <w:tcPr>
            <w:tcW w:w="777" w:type="pct"/>
            <w:tcMar>
              <w:left w:w="108" w:type="dxa"/>
              <w:right w:w="108" w:type="dxa"/>
            </w:tcMar>
            <w:vAlign w:val="center"/>
          </w:tcPr>
          <w:p w:rsidR="004F70D5" w:rsidRPr="00C6598A" w:rsidRDefault="004F70D5" w:rsidP="007020AC">
            <w:r>
              <w:t>V/ogniwo (VRLA)</w:t>
            </w:r>
          </w:p>
        </w:tc>
        <w:tc>
          <w:tcPr>
            <w:tcW w:w="3023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 xml:space="preserve">1,65 V/ogniwo (zakres regulacji: 1,60–1,750 V/ogniwo) przy prądzie wyładowania 0,6 C </w:t>
            </w:r>
          </w:p>
          <w:p w:rsidR="004F70D5" w:rsidRPr="009671FA" w:rsidRDefault="004F70D5" w:rsidP="007020AC">
            <w:r>
              <w:t xml:space="preserve">1,75 V/ogniwo (zakres regulacji: 1,65–1,8 V/ogniwo) przy prądzie wyładowania 0,15 C </w:t>
            </w:r>
          </w:p>
          <w:p w:rsidR="004F70D5" w:rsidRPr="009671FA" w:rsidRDefault="004F70D5" w:rsidP="007020AC">
            <w:r>
              <w:t>(Napięcie końcowe się liniowo w ustawionym zakresie wraz z prądem wyładowczym)</w:t>
            </w:r>
          </w:p>
        </w:tc>
      </w:tr>
      <w:tr w:rsidR="004F70D5" w:rsidRPr="00E015AA" w:rsidTr="004F70D5">
        <w:trPr>
          <w:trHeight w:val="59"/>
          <w:jc w:val="center"/>
        </w:trPr>
        <w:tc>
          <w:tcPr>
            <w:tcW w:w="1200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Ładowanie akumulatorów</w:t>
            </w:r>
          </w:p>
        </w:tc>
        <w:tc>
          <w:tcPr>
            <w:tcW w:w="777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V/ogniwo</w:t>
            </w:r>
          </w:p>
        </w:tc>
        <w:tc>
          <w:tcPr>
            <w:tcW w:w="3023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 xml:space="preserve">2,4 V/ogniwo (zakres regulacji: 2,3–2,45 V/ogniwo) </w:t>
            </w:r>
          </w:p>
          <w:p w:rsidR="004F70D5" w:rsidRPr="00C6598A" w:rsidRDefault="004F70D5" w:rsidP="007020AC">
            <w:r>
              <w:t>Tryb ładowania ze stałym prądem i stałym napięciem</w:t>
            </w:r>
          </w:p>
        </w:tc>
      </w:tr>
      <w:tr w:rsidR="004F70D5" w:rsidRPr="00EE3162" w:rsidTr="004F70D5">
        <w:trPr>
          <w:trHeight w:val="141"/>
          <w:jc w:val="center"/>
        </w:trPr>
        <w:tc>
          <w:tcPr>
            <w:tcW w:w="1200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Moc ładowania akumulatorów przy maks. prądzie</w:t>
            </w:r>
          </w:p>
        </w:tc>
        <w:tc>
          <w:tcPr>
            <w:tcW w:w="777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kW</w:t>
            </w:r>
          </w:p>
        </w:tc>
        <w:tc>
          <w:tcPr>
            <w:tcW w:w="3023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10%* mocy UPS (zakres regulacji: 1~20%* mocy UPS)</w:t>
            </w:r>
          </w:p>
        </w:tc>
      </w:tr>
      <w:tr w:rsidR="004F70D5" w:rsidRPr="00EE3162" w:rsidTr="004F70D5">
        <w:trPr>
          <w:trHeight w:val="141"/>
          <w:jc w:val="center"/>
        </w:trPr>
        <w:tc>
          <w:tcPr>
            <w:tcW w:w="1200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Default="004F70D5" w:rsidP="007020AC">
            <w:r>
              <w:lastRenderedPageBreak/>
              <w:t>Czas podtrzymania przy maksymalnym obciążeniu</w:t>
            </w:r>
          </w:p>
        </w:tc>
        <w:tc>
          <w:tcPr>
            <w:tcW w:w="777" w:type="pct"/>
            <w:tcMar>
              <w:left w:w="108" w:type="dxa"/>
              <w:right w:w="108" w:type="dxa"/>
            </w:tcMar>
            <w:vAlign w:val="center"/>
          </w:tcPr>
          <w:p w:rsidR="004F70D5" w:rsidRDefault="004F70D5" w:rsidP="007020AC">
            <w:r>
              <w:t>min</w:t>
            </w:r>
          </w:p>
        </w:tc>
        <w:tc>
          <w:tcPr>
            <w:tcW w:w="3023" w:type="pct"/>
            <w:tcMar>
              <w:left w:w="108" w:type="dxa"/>
              <w:right w:w="108" w:type="dxa"/>
            </w:tcMar>
            <w:vAlign w:val="center"/>
          </w:tcPr>
          <w:p w:rsidR="004F70D5" w:rsidRDefault="00DC0C0A" w:rsidP="009F5237">
            <w:r w:rsidRPr="00DC0C0A">
              <w:t xml:space="preserve">min. 60 min. przy </w:t>
            </w:r>
            <w:r w:rsidR="009F5237">
              <w:t xml:space="preserve">pełnym </w:t>
            </w:r>
            <w:r w:rsidRPr="00DC0C0A">
              <w:t>obciążeniu  (należy dołączyć wydruk z kalkulatora producenta baterii),</w:t>
            </w:r>
          </w:p>
        </w:tc>
      </w:tr>
      <w:tr w:rsidR="00DC0C0A" w:rsidRPr="00EE3162" w:rsidTr="004F70D5">
        <w:trPr>
          <w:trHeight w:val="141"/>
          <w:jc w:val="center"/>
        </w:trPr>
        <w:tc>
          <w:tcPr>
            <w:tcW w:w="1200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DC0C0A" w:rsidRDefault="00DC0C0A" w:rsidP="007020AC">
            <w:r>
              <w:t>Wyposażenie</w:t>
            </w:r>
          </w:p>
        </w:tc>
        <w:tc>
          <w:tcPr>
            <w:tcW w:w="777" w:type="pct"/>
            <w:tcMar>
              <w:left w:w="108" w:type="dxa"/>
              <w:right w:w="108" w:type="dxa"/>
            </w:tcMar>
            <w:vAlign w:val="center"/>
          </w:tcPr>
          <w:p w:rsidR="00DC0C0A" w:rsidRDefault="00DC0C0A" w:rsidP="007020AC"/>
        </w:tc>
        <w:tc>
          <w:tcPr>
            <w:tcW w:w="3023" w:type="pct"/>
            <w:tcMar>
              <w:left w:w="108" w:type="dxa"/>
              <w:right w:w="108" w:type="dxa"/>
            </w:tcMar>
            <w:vAlign w:val="center"/>
          </w:tcPr>
          <w:p w:rsidR="00DC0C0A" w:rsidRDefault="00DC0C0A" w:rsidP="007020AC">
            <w:r w:rsidRPr="00DC0C0A">
              <w:t>rozłączniki bateryjne pojedynczych stringów bateryjnych oraz okablowanie dobrane do maksymalnej mocy zasilacza UPS; stelaż bateryjny</w:t>
            </w:r>
          </w:p>
        </w:tc>
      </w:tr>
      <w:tr w:rsidR="00DC0C0A" w:rsidRPr="00EE3162" w:rsidTr="004F70D5">
        <w:trPr>
          <w:trHeight w:val="141"/>
          <w:jc w:val="center"/>
        </w:trPr>
        <w:tc>
          <w:tcPr>
            <w:tcW w:w="1200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DC0C0A" w:rsidRDefault="00DC0C0A" w:rsidP="007020AC">
            <w:r w:rsidRPr="00DC0C0A">
              <w:t>projektowana żywotność</w:t>
            </w:r>
          </w:p>
        </w:tc>
        <w:tc>
          <w:tcPr>
            <w:tcW w:w="777" w:type="pct"/>
            <w:tcMar>
              <w:left w:w="108" w:type="dxa"/>
              <w:right w:w="108" w:type="dxa"/>
            </w:tcMar>
            <w:vAlign w:val="center"/>
          </w:tcPr>
          <w:p w:rsidR="00DC0C0A" w:rsidRDefault="00DC0C0A" w:rsidP="007020AC"/>
        </w:tc>
        <w:tc>
          <w:tcPr>
            <w:tcW w:w="3023" w:type="pct"/>
            <w:tcMar>
              <w:left w:w="108" w:type="dxa"/>
              <w:right w:w="108" w:type="dxa"/>
            </w:tcMar>
            <w:vAlign w:val="center"/>
          </w:tcPr>
          <w:p w:rsidR="00DC0C0A" w:rsidRDefault="00DC0C0A" w:rsidP="007020AC">
            <w:r w:rsidRPr="00DC0C0A">
              <w:t xml:space="preserve">15 lat wg </w:t>
            </w:r>
            <w:proofErr w:type="spellStart"/>
            <w:r w:rsidRPr="00DC0C0A">
              <w:t>Eurobat</w:t>
            </w:r>
            <w:proofErr w:type="spellEnd"/>
          </w:p>
        </w:tc>
      </w:tr>
      <w:tr w:rsidR="00DC0C0A" w:rsidRPr="00EE3162" w:rsidTr="004F70D5">
        <w:trPr>
          <w:trHeight w:val="141"/>
          <w:jc w:val="center"/>
        </w:trPr>
        <w:tc>
          <w:tcPr>
            <w:tcW w:w="1200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DC0C0A" w:rsidRDefault="00DC0C0A" w:rsidP="007020AC">
            <w:r>
              <w:t>Deklaracje, certyfikaty</w:t>
            </w:r>
          </w:p>
        </w:tc>
        <w:tc>
          <w:tcPr>
            <w:tcW w:w="777" w:type="pct"/>
            <w:tcMar>
              <w:left w:w="108" w:type="dxa"/>
              <w:right w:w="108" w:type="dxa"/>
            </w:tcMar>
            <w:vAlign w:val="center"/>
          </w:tcPr>
          <w:p w:rsidR="00DC0C0A" w:rsidRDefault="00DC0C0A" w:rsidP="007020AC"/>
        </w:tc>
        <w:tc>
          <w:tcPr>
            <w:tcW w:w="3023" w:type="pct"/>
            <w:tcMar>
              <w:left w:w="108" w:type="dxa"/>
              <w:right w:w="108" w:type="dxa"/>
            </w:tcMar>
            <w:vAlign w:val="center"/>
          </w:tcPr>
          <w:p w:rsidR="00DC0C0A" w:rsidRDefault="00DC0C0A" w:rsidP="007020AC">
            <w:r w:rsidRPr="00DC0C0A">
              <w:t>certyfikat ISO 9001 oraz ISO 14001 dla producenta baterii</w:t>
            </w:r>
          </w:p>
        </w:tc>
      </w:tr>
    </w:tbl>
    <w:p w:rsidR="004F70D5" w:rsidRPr="003A0631" w:rsidRDefault="004F70D5" w:rsidP="004F70D5">
      <w:pPr>
        <w:pStyle w:val="12"/>
        <w:spacing w:before="0" w:after="0" w:line="360" w:lineRule="auto"/>
        <w:ind w:left="0" w:firstLineChars="0" w:firstLine="0"/>
        <w:rPr>
          <w:rFonts w:ascii="Arial" w:hAnsi="Arial" w:cs="Arial"/>
          <w:sz w:val="21"/>
          <w:szCs w:val="21"/>
        </w:rPr>
      </w:pPr>
      <w:bookmarkStart w:id="15" w:name="_Toc228855195"/>
      <w:bookmarkStart w:id="16" w:name="_Toc286413352"/>
    </w:p>
    <w:p w:rsidR="004F70D5" w:rsidRPr="00597E55" w:rsidRDefault="004F70D5" w:rsidP="004F70D5">
      <w:pPr>
        <w:pStyle w:val="Nagwek3"/>
      </w:pPr>
      <w:bookmarkStart w:id="17" w:name="_Toc440438940"/>
      <w:bookmarkStart w:id="18" w:name="_Toc517688302"/>
      <w:bookmarkEnd w:id="15"/>
      <w:bookmarkEnd w:id="16"/>
      <w:r>
        <w:t>Właściwości elektryczne (wyjście falownika)</w:t>
      </w:r>
      <w:bookmarkEnd w:id="17"/>
      <w:bookmarkEnd w:id="18"/>
    </w:p>
    <w:p w:rsidR="004F70D5" w:rsidRDefault="004F70D5" w:rsidP="004F70D5">
      <w:pPr>
        <w:pStyle w:val="Legenda"/>
        <w:keepNext/>
        <w:jc w:val="center"/>
      </w:pPr>
      <w:r>
        <w:t xml:space="preserve">Tabela </w:t>
      </w:r>
      <w:fldSimple w:instr=" SEQ Table \* ARABIC \s 1 ">
        <w:r>
          <w:rPr>
            <w:noProof/>
          </w:rPr>
          <w:t>7</w:t>
        </w:r>
      </w:fldSimple>
      <w:r>
        <w:rPr>
          <w:rFonts w:ascii="Times New Roman" w:hAnsi="Times New Roman"/>
          <w:sz w:val="21"/>
          <w:szCs w:val="21"/>
        </w:rPr>
        <w:t xml:space="preserve"> Wyjście falownika (do krytycznych odbiorników)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4"/>
        <w:gridCol w:w="1306"/>
        <w:gridCol w:w="5152"/>
      </w:tblGrid>
      <w:tr w:rsidR="004F70D5" w:rsidRPr="00EE3162" w:rsidTr="007020AC">
        <w:trPr>
          <w:trHeight w:val="140"/>
          <w:tblHeader/>
          <w:jc w:val="center"/>
        </w:trPr>
        <w:tc>
          <w:tcPr>
            <w:tcW w:w="1211" w:type="pct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4F70D5" w:rsidRPr="00D36E86" w:rsidRDefault="004F70D5" w:rsidP="007020AC">
            <w:pPr>
              <w:rPr>
                <w:iCs/>
                <w:kern w:val="0"/>
              </w:rPr>
            </w:pPr>
            <w:r>
              <w:t>Poz.</w:t>
            </w:r>
          </w:p>
        </w:tc>
        <w:tc>
          <w:tcPr>
            <w:tcW w:w="766" w:type="pct"/>
            <w:shd w:val="pct25" w:color="auto" w:fill="FFFFFF"/>
            <w:vAlign w:val="center"/>
          </w:tcPr>
          <w:p w:rsidR="004F70D5" w:rsidRPr="00D36E86" w:rsidRDefault="004F70D5" w:rsidP="007020AC">
            <w:pPr>
              <w:rPr>
                <w:iCs/>
                <w:kern w:val="0"/>
              </w:rPr>
            </w:pPr>
            <w:r>
              <w:t>Jednostka</w:t>
            </w:r>
          </w:p>
        </w:tc>
        <w:tc>
          <w:tcPr>
            <w:tcW w:w="3023" w:type="pct"/>
            <w:shd w:val="pct25" w:color="auto" w:fill="FFFFFF"/>
            <w:vAlign w:val="center"/>
          </w:tcPr>
          <w:p w:rsidR="004F70D5" w:rsidRPr="00D36E86" w:rsidRDefault="004F70D5" w:rsidP="007020AC">
            <w:pPr>
              <w:rPr>
                <w:iCs/>
                <w:kern w:val="0"/>
              </w:rPr>
            </w:pPr>
            <w:r>
              <w:t>Wartość</w:t>
            </w:r>
          </w:p>
        </w:tc>
      </w:tr>
      <w:tr w:rsidR="004F70D5" w:rsidRPr="00EE3162" w:rsidTr="007020AC">
        <w:trPr>
          <w:trHeight w:val="59"/>
          <w:jc w:val="center"/>
        </w:trPr>
        <w:tc>
          <w:tcPr>
            <w:tcW w:w="1211" w:type="pct"/>
            <w:shd w:val="pct25" w:color="auto" w:fill="FFFFFF"/>
            <w:vAlign w:val="center"/>
          </w:tcPr>
          <w:p w:rsidR="004F70D5" w:rsidRPr="009671FA" w:rsidRDefault="004F70D5" w:rsidP="007020AC">
            <w:r>
              <w:t>Moc znamionowa</w:t>
            </w:r>
          </w:p>
        </w:tc>
        <w:tc>
          <w:tcPr>
            <w:tcW w:w="766" w:type="pct"/>
            <w:vAlign w:val="center"/>
          </w:tcPr>
          <w:p w:rsidR="004F70D5" w:rsidRPr="009671FA" w:rsidRDefault="004F70D5" w:rsidP="007020AC">
            <w:r>
              <w:t>kVA</w:t>
            </w:r>
          </w:p>
        </w:tc>
        <w:tc>
          <w:tcPr>
            <w:tcW w:w="3023" w:type="pct"/>
            <w:vAlign w:val="center"/>
          </w:tcPr>
          <w:p w:rsidR="004F70D5" w:rsidRPr="009671FA" w:rsidRDefault="009F5237" w:rsidP="007020AC">
            <w:r>
              <w:t>60</w:t>
            </w:r>
          </w:p>
        </w:tc>
      </w:tr>
      <w:tr w:rsidR="004F70D5" w:rsidRPr="00EE3162" w:rsidTr="007020AC">
        <w:trPr>
          <w:trHeight w:val="59"/>
          <w:jc w:val="center"/>
        </w:trPr>
        <w:tc>
          <w:tcPr>
            <w:tcW w:w="1211" w:type="pct"/>
            <w:shd w:val="pct25" w:color="auto" w:fill="FFFFFF"/>
            <w:vAlign w:val="center"/>
          </w:tcPr>
          <w:p w:rsidR="004F70D5" w:rsidRPr="009671FA" w:rsidRDefault="004F70D5" w:rsidP="007020AC">
            <w:r>
              <w:t>Znamionowe napięcie prądu zmiennego</w:t>
            </w:r>
          </w:p>
        </w:tc>
        <w:tc>
          <w:tcPr>
            <w:tcW w:w="766" w:type="pct"/>
            <w:vAlign w:val="center"/>
          </w:tcPr>
          <w:p w:rsidR="004F70D5" w:rsidRPr="009671FA" w:rsidRDefault="004F70D5" w:rsidP="007020AC">
            <w:r>
              <w:t>V AC</w:t>
            </w:r>
          </w:p>
        </w:tc>
        <w:tc>
          <w:tcPr>
            <w:tcW w:w="3023" w:type="pct"/>
            <w:vAlign w:val="center"/>
          </w:tcPr>
          <w:p w:rsidR="004F70D5" w:rsidRPr="009671FA" w:rsidRDefault="004F70D5" w:rsidP="007020AC">
            <w:bookmarkStart w:id="19" w:name="OLE_LINK98"/>
            <w:bookmarkStart w:id="20" w:name="OLE_LINK99"/>
            <w:r>
              <w:t>380/400/415</w:t>
            </w:r>
            <w:bookmarkEnd w:id="19"/>
            <w:bookmarkEnd w:id="20"/>
            <w:r>
              <w:t xml:space="preserve"> (międzyfazowe)</w:t>
            </w:r>
          </w:p>
        </w:tc>
      </w:tr>
      <w:tr w:rsidR="004F70D5" w:rsidRPr="00EE3162" w:rsidTr="007020AC">
        <w:trPr>
          <w:trHeight w:val="59"/>
          <w:jc w:val="center"/>
        </w:trPr>
        <w:tc>
          <w:tcPr>
            <w:tcW w:w="1211" w:type="pct"/>
            <w:shd w:val="pct25" w:color="auto" w:fill="FFFFFF"/>
            <w:vAlign w:val="center"/>
          </w:tcPr>
          <w:p w:rsidR="004F70D5" w:rsidRPr="009671FA" w:rsidRDefault="004F70D5" w:rsidP="007020AC">
            <w:r>
              <w:t>Częstotliwość znamionowa</w:t>
            </w:r>
          </w:p>
        </w:tc>
        <w:tc>
          <w:tcPr>
            <w:tcW w:w="766" w:type="pct"/>
            <w:vAlign w:val="center"/>
          </w:tcPr>
          <w:p w:rsidR="004F70D5" w:rsidRPr="009671FA" w:rsidRDefault="004F70D5" w:rsidP="007020AC">
            <w:proofErr w:type="spellStart"/>
            <w:r>
              <w:t>Hz</w:t>
            </w:r>
            <w:proofErr w:type="spellEnd"/>
          </w:p>
        </w:tc>
        <w:tc>
          <w:tcPr>
            <w:tcW w:w="3023" w:type="pct"/>
            <w:vAlign w:val="center"/>
          </w:tcPr>
          <w:p w:rsidR="004F70D5" w:rsidRPr="009671FA" w:rsidRDefault="004F70D5" w:rsidP="007020AC">
            <w:r>
              <w:t>50/60</w:t>
            </w:r>
          </w:p>
        </w:tc>
      </w:tr>
      <w:tr w:rsidR="004F70D5" w:rsidRPr="00EE3162" w:rsidTr="007020AC">
        <w:trPr>
          <w:trHeight w:val="59"/>
          <w:jc w:val="center"/>
        </w:trPr>
        <w:tc>
          <w:tcPr>
            <w:tcW w:w="1211" w:type="pct"/>
            <w:shd w:val="pct25" w:color="auto" w:fill="FFFFFF"/>
            <w:vAlign w:val="center"/>
          </w:tcPr>
          <w:p w:rsidR="004F70D5" w:rsidRPr="009671FA" w:rsidRDefault="004F70D5" w:rsidP="007020AC">
            <w:r>
              <w:t>Regulacja częstotliwości</w:t>
            </w:r>
          </w:p>
        </w:tc>
        <w:tc>
          <w:tcPr>
            <w:tcW w:w="766" w:type="pct"/>
            <w:vAlign w:val="center"/>
          </w:tcPr>
          <w:p w:rsidR="004F70D5" w:rsidRPr="009671FA" w:rsidRDefault="004F70D5" w:rsidP="007020AC">
            <w:proofErr w:type="spellStart"/>
            <w:r>
              <w:t>Hz</w:t>
            </w:r>
            <w:proofErr w:type="spellEnd"/>
          </w:p>
        </w:tc>
        <w:tc>
          <w:tcPr>
            <w:tcW w:w="3023" w:type="pct"/>
            <w:vAlign w:val="center"/>
          </w:tcPr>
          <w:p w:rsidR="004F70D5" w:rsidRPr="009671FA" w:rsidRDefault="004F70D5" w:rsidP="007020AC">
            <w:r>
              <w:t>50/60Hz ±0,1%</w:t>
            </w:r>
          </w:p>
        </w:tc>
      </w:tr>
      <w:tr w:rsidR="004F70D5" w:rsidRPr="00EE3162" w:rsidTr="007020AC">
        <w:trPr>
          <w:trHeight w:val="59"/>
          <w:jc w:val="center"/>
        </w:trPr>
        <w:tc>
          <w:tcPr>
            <w:tcW w:w="1211" w:type="pct"/>
            <w:shd w:val="pct25" w:color="auto" w:fill="FFFFFF"/>
            <w:vAlign w:val="center"/>
          </w:tcPr>
          <w:p w:rsidR="004F70D5" w:rsidRPr="009671FA" w:rsidRDefault="004F70D5" w:rsidP="007020AC">
            <w:r>
              <w:t>Precyzja napięcia</w:t>
            </w:r>
          </w:p>
        </w:tc>
        <w:tc>
          <w:tcPr>
            <w:tcW w:w="766" w:type="pct"/>
            <w:vAlign w:val="center"/>
          </w:tcPr>
          <w:p w:rsidR="004F70D5" w:rsidRPr="009671FA" w:rsidRDefault="004F70D5" w:rsidP="007020AC">
            <w:r>
              <w:t>%</w:t>
            </w:r>
          </w:p>
        </w:tc>
        <w:tc>
          <w:tcPr>
            <w:tcW w:w="3023" w:type="pct"/>
            <w:vAlign w:val="center"/>
          </w:tcPr>
          <w:p w:rsidR="004F70D5" w:rsidRPr="0069153F" w:rsidRDefault="004F70D5" w:rsidP="007020AC">
            <w:r>
              <w:t>±1,5 (obciążenie liniowe 0~100%)</w:t>
            </w:r>
          </w:p>
        </w:tc>
      </w:tr>
      <w:tr w:rsidR="004F70D5" w:rsidRPr="00EE3162" w:rsidTr="007020AC">
        <w:trPr>
          <w:trHeight w:val="1111"/>
          <w:jc w:val="center"/>
        </w:trPr>
        <w:tc>
          <w:tcPr>
            <w:tcW w:w="1211" w:type="pct"/>
            <w:shd w:val="pct25" w:color="auto" w:fill="FFFFFF"/>
            <w:vAlign w:val="center"/>
          </w:tcPr>
          <w:p w:rsidR="004F70D5" w:rsidRPr="009671FA" w:rsidRDefault="004F70D5" w:rsidP="007020AC">
            <w:r>
              <w:t>Przeciążenie</w:t>
            </w:r>
          </w:p>
        </w:tc>
        <w:tc>
          <w:tcPr>
            <w:tcW w:w="766" w:type="pct"/>
            <w:vAlign w:val="center"/>
          </w:tcPr>
          <w:p w:rsidR="004F70D5" w:rsidRPr="009671FA" w:rsidRDefault="004F70D5" w:rsidP="007020AC">
            <w:r>
              <w:t>\</w:t>
            </w:r>
          </w:p>
        </w:tc>
        <w:tc>
          <w:tcPr>
            <w:tcW w:w="3023" w:type="pct"/>
            <w:vAlign w:val="center"/>
          </w:tcPr>
          <w:p w:rsidR="004F70D5" w:rsidRPr="004C0F0B" w:rsidRDefault="004F70D5" w:rsidP="007020AC">
            <w:r>
              <w:t>110%, 60 min;</w:t>
            </w:r>
          </w:p>
          <w:p w:rsidR="004F70D5" w:rsidRPr="004C0F0B" w:rsidRDefault="004F70D5" w:rsidP="007020AC">
            <w:r>
              <w:t>125%, 10 min;</w:t>
            </w:r>
          </w:p>
          <w:p w:rsidR="004F70D5" w:rsidRPr="004C0F0B" w:rsidRDefault="004F70D5" w:rsidP="007020AC">
            <w:r>
              <w:t>150%, 1 min;</w:t>
            </w:r>
          </w:p>
          <w:p w:rsidR="004F70D5" w:rsidRPr="004C0F0B" w:rsidRDefault="004F70D5" w:rsidP="007020AC">
            <w:r>
              <w:t>&gt;150%, 200 ms</w:t>
            </w:r>
          </w:p>
        </w:tc>
      </w:tr>
      <w:tr w:rsidR="004F70D5" w:rsidRPr="00EE3162" w:rsidTr="007020AC">
        <w:trPr>
          <w:trHeight w:val="59"/>
          <w:jc w:val="center"/>
        </w:trPr>
        <w:tc>
          <w:tcPr>
            <w:tcW w:w="1211" w:type="pct"/>
            <w:shd w:val="pct25" w:color="auto" w:fill="FFFFFF"/>
            <w:vAlign w:val="center"/>
          </w:tcPr>
          <w:p w:rsidR="004F70D5" w:rsidRPr="009671FA" w:rsidRDefault="004F70D5" w:rsidP="007020AC">
            <w:r>
              <w:t>Zakres synchronizacji</w:t>
            </w:r>
          </w:p>
        </w:tc>
        <w:tc>
          <w:tcPr>
            <w:tcW w:w="766" w:type="pct"/>
            <w:vAlign w:val="center"/>
          </w:tcPr>
          <w:p w:rsidR="004F70D5" w:rsidRPr="009671FA" w:rsidRDefault="004F70D5" w:rsidP="007020AC">
            <w:proofErr w:type="spellStart"/>
            <w:r>
              <w:t>Hz</w:t>
            </w:r>
            <w:proofErr w:type="spellEnd"/>
          </w:p>
        </w:tc>
        <w:tc>
          <w:tcPr>
            <w:tcW w:w="3023" w:type="pct"/>
            <w:vAlign w:val="center"/>
          </w:tcPr>
          <w:p w:rsidR="004F70D5" w:rsidRPr="009671FA" w:rsidRDefault="004F70D5" w:rsidP="007020AC">
            <w:pPr>
              <w:rPr>
                <w:kern w:val="0"/>
              </w:rPr>
            </w:pPr>
            <w:r>
              <w:t>Zakres regulacji ±0,5 </w:t>
            </w:r>
            <w:proofErr w:type="spellStart"/>
            <w:r>
              <w:t>Hz</w:t>
            </w:r>
            <w:proofErr w:type="spellEnd"/>
            <w:r>
              <w:t>~±5 </w:t>
            </w:r>
            <w:proofErr w:type="spellStart"/>
            <w:r>
              <w:t>Hz</w:t>
            </w:r>
            <w:proofErr w:type="spellEnd"/>
            <w:r>
              <w:t>, domyślnie ±3 </w:t>
            </w:r>
            <w:proofErr w:type="spellStart"/>
            <w:r>
              <w:t>Hz</w:t>
            </w:r>
            <w:proofErr w:type="spellEnd"/>
          </w:p>
        </w:tc>
      </w:tr>
      <w:tr w:rsidR="004F70D5" w:rsidRPr="00EE3162" w:rsidTr="007020AC">
        <w:trPr>
          <w:trHeight w:val="59"/>
          <w:jc w:val="center"/>
        </w:trPr>
        <w:tc>
          <w:tcPr>
            <w:tcW w:w="1211" w:type="pct"/>
            <w:shd w:val="pct25" w:color="auto" w:fill="FFFFFF"/>
            <w:vAlign w:val="center"/>
          </w:tcPr>
          <w:p w:rsidR="004F70D5" w:rsidRPr="009671FA" w:rsidRDefault="004F70D5" w:rsidP="007020AC">
            <w:r>
              <w:t>Zsynchronizowana szybkość narastania</w:t>
            </w:r>
          </w:p>
        </w:tc>
        <w:tc>
          <w:tcPr>
            <w:tcW w:w="766" w:type="pct"/>
            <w:vAlign w:val="center"/>
          </w:tcPr>
          <w:p w:rsidR="004F70D5" w:rsidRPr="009671FA" w:rsidRDefault="004F70D5" w:rsidP="007020AC">
            <w:proofErr w:type="spellStart"/>
            <w:r>
              <w:t>Hz</w:t>
            </w:r>
            <w:proofErr w:type="spellEnd"/>
          </w:p>
        </w:tc>
        <w:tc>
          <w:tcPr>
            <w:tcW w:w="3023" w:type="pct"/>
            <w:vAlign w:val="center"/>
          </w:tcPr>
          <w:p w:rsidR="004F70D5" w:rsidRPr="009671FA" w:rsidRDefault="004F70D5" w:rsidP="007020AC">
            <w:r>
              <w:t>Zakres regulacji, 0,5 </w:t>
            </w:r>
            <w:proofErr w:type="spellStart"/>
            <w:r>
              <w:t>Hz</w:t>
            </w:r>
            <w:proofErr w:type="spellEnd"/>
            <w:r>
              <w:t>/s ~ 3 </w:t>
            </w:r>
            <w:proofErr w:type="spellStart"/>
            <w:r>
              <w:t>Hz</w:t>
            </w:r>
            <w:proofErr w:type="spellEnd"/>
            <w:r>
              <w:t>/s, domyślnie 0,5 </w:t>
            </w:r>
            <w:proofErr w:type="spellStart"/>
            <w:r>
              <w:t>Hz</w:t>
            </w:r>
            <w:proofErr w:type="spellEnd"/>
            <w:r>
              <w:t>/s</w:t>
            </w:r>
          </w:p>
        </w:tc>
      </w:tr>
      <w:tr w:rsidR="004F70D5" w:rsidRPr="00EE3162" w:rsidTr="007020AC">
        <w:trPr>
          <w:trHeight w:val="59"/>
          <w:jc w:val="center"/>
        </w:trPr>
        <w:tc>
          <w:tcPr>
            <w:tcW w:w="1211" w:type="pct"/>
            <w:shd w:val="pct25" w:color="auto" w:fill="FFFFFF"/>
            <w:vAlign w:val="center"/>
          </w:tcPr>
          <w:p w:rsidR="004F70D5" w:rsidRPr="009671FA" w:rsidRDefault="004F70D5" w:rsidP="007020AC">
            <w:r>
              <w:t>Wyjściowy współczynnik mocy</w:t>
            </w:r>
          </w:p>
        </w:tc>
        <w:tc>
          <w:tcPr>
            <w:tcW w:w="766" w:type="pct"/>
            <w:vAlign w:val="center"/>
          </w:tcPr>
          <w:p w:rsidR="004F70D5" w:rsidRPr="009671FA" w:rsidRDefault="004F70D5" w:rsidP="007020AC">
            <w:r>
              <w:t>PF</w:t>
            </w:r>
          </w:p>
        </w:tc>
        <w:tc>
          <w:tcPr>
            <w:tcW w:w="3023" w:type="pct"/>
            <w:vAlign w:val="center"/>
          </w:tcPr>
          <w:p w:rsidR="004F70D5" w:rsidRPr="009671FA" w:rsidRDefault="004F70D5" w:rsidP="007020AC">
            <w:r>
              <w:t>0,9</w:t>
            </w:r>
          </w:p>
        </w:tc>
      </w:tr>
      <w:tr w:rsidR="004F70D5" w:rsidRPr="00EE3162" w:rsidTr="007020AC">
        <w:trPr>
          <w:trHeight w:val="59"/>
          <w:jc w:val="center"/>
        </w:trPr>
        <w:tc>
          <w:tcPr>
            <w:tcW w:w="1211" w:type="pct"/>
            <w:shd w:val="pct25" w:color="auto" w:fill="FFFFFF"/>
            <w:vAlign w:val="center"/>
          </w:tcPr>
          <w:p w:rsidR="004F70D5" w:rsidRPr="009671FA" w:rsidRDefault="004F70D5" w:rsidP="007020AC">
            <w:r>
              <w:t>Charakterystyka przejściowa</w:t>
            </w:r>
          </w:p>
        </w:tc>
        <w:tc>
          <w:tcPr>
            <w:tcW w:w="766" w:type="pct"/>
            <w:vAlign w:val="center"/>
          </w:tcPr>
          <w:p w:rsidR="004F70D5" w:rsidRPr="009671FA" w:rsidRDefault="004F70D5" w:rsidP="007020AC">
            <w:r>
              <w:t>%</w:t>
            </w:r>
          </w:p>
        </w:tc>
        <w:tc>
          <w:tcPr>
            <w:tcW w:w="3023" w:type="pct"/>
            <w:vAlign w:val="center"/>
          </w:tcPr>
          <w:p w:rsidR="004F70D5" w:rsidRPr="009671FA" w:rsidRDefault="004F70D5" w:rsidP="007020AC">
            <w:r>
              <w:t>&lt;5% przy skokowych zmianach obciążenia (20% - 80% -20%)</w:t>
            </w:r>
          </w:p>
        </w:tc>
      </w:tr>
      <w:tr w:rsidR="004F70D5" w:rsidRPr="00EE3162" w:rsidTr="007020AC">
        <w:trPr>
          <w:trHeight w:val="59"/>
          <w:jc w:val="center"/>
        </w:trPr>
        <w:tc>
          <w:tcPr>
            <w:tcW w:w="1211" w:type="pct"/>
            <w:shd w:val="pct25" w:color="auto" w:fill="FFFFFF"/>
            <w:vAlign w:val="center"/>
          </w:tcPr>
          <w:p w:rsidR="004F70D5" w:rsidRPr="009671FA" w:rsidRDefault="004F70D5" w:rsidP="007020AC">
            <w:r>
              <w:t>Odzyskiwanie równowagi po stanach przejściowych</w:t>
            </w:r>
          </w:p>
        </w:tc>
        <w:tc>
          <w:tcPr>
            <w:tcW w:w="766" w:type="pct"/>
            <w:vAlign w:val="center"/>
          </w:tcPr>
          <w:p w:rsidR="004F70D5" w:rsidRPr="009671FA" w:rsidRDefault="004F70D5" w:rsidP="007020AC"/>
        </w:tc>
        <w:tc>
          <w:tcPr>
            <w:tcW w:w="3023" w:type="pct"/>
            <w:vAlign w:val="center"/>
          </w:tcPr>
          <w:p w:rsidR="004F70D5" w:rsidRPr="009671FA" w:rsidRDefault="004F70D5" w:rsidP="007020AC">
            <w:r>
              <w:t>&lt; 30 ms przy skokowych zmianach obciążenia (0% - 100% -0%)</w:t>
            </w:r>
          </w:p>
        </w:tc>
      </w:tr>
      <w:tr w:rsidR="004F70D5" w:rsidRPr="00EE3162" w:rsidTr="007020AC">
        <w:trPr>
          <w:trHeight w:val="145"/>
          <w:jc w:val="center"/>
        </w:trPr>
        <w:tc>
          <w:tcPr>
            <w:tcW w:w="1211" w:type="pct"/>
            <w:shd w:val="pct25" w:color="auto" w:fill="FFFFFF"/>
            <w:vAlign w:val="center"/>
          </w:tcPr>
          <w:p w:rsidR="004F70D5" w:rsidRPr="009671FA" w:rsidRDefault="004F70D5" w:rsidP="007020AC">
            <w:r>
              <w:t xml:space="preserve">Zniekształcenia </w:t>
            </w:r>
            <w:proofErr w:type="spellStart"/>
            <w:r>
              <w:t>THDu</w:t>
            </w:r>
            <w:proofErr w:type="spellEnd"/>
            <w:r>
              <w:t xml:space="preserve"> napięcia wyjściowego</w:t>
            </w:r>
          </w:p>
        </w:tc>
        <w:tc>
          <w:tcPr>
            <w:tcW w:w="766" w:type="pct"/>
            <w:vAlign w:val="center"/>
          </w:tcPr>
          <w:p w:rsidR="004F70D5" w:rsidRPr="009671FA" w:rsidRDefault="004F70D5" w:rsidP="007020AC"/>
        </w:tc>
        <w:tc>
          <w:tcPr>
            <w:tcW w:w="3023" w:type="pct"/>
            <w:vAlign w:val="center"/>
          </w:tcPr>
          <w:p w:rsidR="004F70D5" w:rsidRPr="009671FA" w:rsidRDefault="004F70D5" w:rsidP="007020AC">
            <w:r>
              <w:t>&lt;1% przy obciążeniu liniowym od 0% do 100%</w:t>
            </w:r>
          </w:p>
          <w:p w:rsidR="004F70D5" w:rsidRPr="009671FA" w:rsidRDefault="004F70D5" w:rsidP="007020AC">
            <w:r>
              <w:t>&lt;6% pełnego nieliniowego obciążenia według IEC/EN62040-3</w:t>
            </w:r>
          </w:p>
        </w:tc>
      </w:tr>
    </w:tbl>
    <w:p w:rsidR="004F70D5" w:rsidRPr="00C572A1" w:rsidRDefault="004F70D5" w:rsidP="004F70D5">
      <w:pPr>
        <w:pStyle w:val="a3"/>
        <w:ind w:firstLine="360"/>
        <w:rPr>
          <w:rFonts w:ascii="Arial" w:hAnsi="Arial" w:cs="Arial"/>
        </w:rPr>
      </w:pPr>
    </w:p>
    <w:p w:rsidR="004F70D5" w:rsidRPr="00722EB2" w:rsidRDefault="004F70D5" w:rsidP="004F70D5">
      <w:pPr>
        <w:pStyle w:val="Nagwek3"/>
      </w:pPr>
      <w:bookmarkStart w:id="21" w:name="_Toc440438941"/>
      <w:bookmarkStart w:id="22" w:name="_Toc517688303"/>
      <w:r>
        <w:t>Właściwości elektryczne (wejście sieciowe bypassu)</w:t>
      </w:r>
      <w:bookmarkEnd w:id="21"/>
      <w:bookmarkEnd w:id="22"/>
    </w:p>
    <w:p w:rsidR="004F70D5" w:rsidRDefault="004F70D5" w:rsidP="004F70D5">
      <w:pPr>
        <w:pStyle w:val="Legenda"/>
        <w:keepNext/>
        <w:jc w:val="center"/>
      </w:pPr>
      <w:r>
        <w:t xml:space="preserve">Tabela </w:t>
      </w:r>
      <w:fldSimple w:instr=" SEQ Table \* ARABIC \s 1 ">
        <w:r>
          <w:rPr>
            <w:noProof/>
          </w:rPr>
          <w:t>8</w:t>
        </w:r>
      </w:fldSimple>
      <w:r>
        <w:t xml:space="preserve"> </w:t>
      </w:r>
      <w:r>
        <w:rPr>
          <w:rFonts w:ascii="Times New Roman" w:hAnsi="Times New Roman"/>
          <w:sz w:val="21"/>
          <w:szCs w:val="21"/>
        </w:rPr>
        <w:t>Wejście sieciowe bypassu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040"/>
        <w:gridCol w:w="1127"/>
        <w:gridCol w:w="2170"/>
        <w:gridCol w:w="2185"/>
      </w:tblGrid>
      <w:tr w:rsidR="004F70D5" w:rsidRPr="00BA7D45" w:rsidTr="007020AC">
        <w:trPr>
          <w:trHeight w:val="512"/>
          <w:jc w:val="center"/>
        </w:trPr>
        <w:tc>
          <w:tcPr>
            <w:tcW w:w="18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4F70D5" w:rsidRPr="00650B95" w:rsidRDefault="004F70D5" w:rsidP="007020AC">
            <w:pPr>
              <w:rPr>
                <w:b/>
                <w:kern w:val="0"/>
              </w:rPr>
            </w:pPr>
            <w:r>
              <w:rPr>
                <w:b/>
              </w:rPr>
              <w:t>Poz.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4F70D5" w:rsidRPr="00650B95" w:rsidRDefault="004F70D5" w:rsidP="007020AC">
            <w:pPr>
              <w:rPr>
                <w:b/>
                <w:kern w:val="0"/>
              </w:rPr>
            </w:pPr>
            <w:r>
              <w:rPr>
                <w:b/>
              </w:rPr>
              <w:t>Jednostka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4F70D5" w:rsidRPr="00650B95" w:rsidRDefault="009F5237" w:rsidP="007020AC">
            <w:pPr>
              <w:rPr>
                <w:b/>
                <w:kern w:val="0"/>
              </w:rPr>
            </w:pPr>
            <w:r>
              <w:rPr>
                <w:b/>
                <w:kern w:val="0"/>
              </w:rPr>
              <w:t>60</w:t>
            </w:r>
            <w:r w:rsidR="007E2316">
              <w:rPr>
                <w:b/>
                <w:kern w:val="0"/>
              </w:rPr>
              <w:t xml:space="preserve"> kVA</w:t>
            </w:r>
          </w:p>
        </w:tc>
        <w:tc>
          <w:tcPr>
            <w:tcW w:w="1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4F70D5" w:rsidRPr="00650B95" w:rsidRDefault="004F70D5" w:rsidP="007020AC">
            <w:pPr>
              <w:rPr>
                <w:b/>
                <w:kern w:val="0"/>
              </w:rPr>
            </w:pPr>
          </w:p>
        </w:tc>
      </w:tr>
      <w:tr w:rsidR="004F70D5" w:rsidRPr="00BA7D45" w:rsidTr="007020AC">
        <w:trPr>
          <w:trHeight w:val="852"/>
          <w:jc w:val="center"/>
        </w:trPr>
        <w:tc>
          <w:tcPr>
            <w:tcW w:w="188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auto" w:fill="FFFFFF"/>
            <w:vAlign w:val="center"/>
          </w:tcPr>
          <w:p w:rsidR="004F70D5" w:rsidRPr="00BA7D45" w:rsidRDefault="004F70D5" w:rsidP="007020AC">
            <w:pPr>
              <w:rPr>
                <w:kern w:val="0"/>
              </w:rPr>
            </w:pPr>
            <w:r>
              <w:t>Znamionowe napięcie prądu zmiennego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70D5" w:rsidRPr="00BA7D45" w:rsidRDefault="004F70D5" w:rsidP="007020AC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/>
              </w:rPr>
              <w:t>V AC</w:t>
            </w:r>
          </w:p>
        </w:tc>
        <w:tc>
          <w:tcPr>
            <w:tcW w:w="2765" w:type="pct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F70D5" w:rsidRDefault="004F70D5" w:rsidP="007020AC">
            <w:pPr>
              <w:rPr>
                <w:kern w:val="0"/>
              </w:rPr>
            </w:pPr>
            <w:r>
              <w:t>380/400/415</w:t>
            </w:r>
          </w:p>
          <w:p w:rsidR="004F70D5" w:rsidRPr="00BA7D45" w:rsidRDefault="004F70D5" w:rsidP="007020AC">
            <w:pPr>
              <w:rPr>
                <w:rFonts w:ascii="Arial" w:hAnsi="Arial" w:cs="Arial"/>
                <w:kern w:val="0"/>
              </w:rPr>
            </w:pPr>
            <w:r>
              <w:t>(trójfazowe czteroprzewodowe i ze wspólnym przewodem neutralnym z wejściem bypassu)</w:t>
            </w:r>
          </w:p>
        </w:tc>
      </w:tr>
      <w:tr w:rsidR="004F70D5" w:rsidRPr="00BA7D45" w:rsidTr="007020AC">
        <w:trPr>
          <w:trHeight w:val="343"/>
          <w:jc w:val="center"/>
        </w:trPr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auto" w:fill="FFFFFF"/>
            <w:vAlign w:val="center"/>
          </w:tcPr>
          <w:p w:rsidR="004F70D5" w:rsidRPr="00BA7D45" w:rsidRDefault="004F70D5" w:rsidP="007020AC">
            <w:pPr>
              <w:rPr>
                <w:kern w:val="0"/>
              </w:rPr>
            </w:pPr>
            <w:r>
              <w:lastRenderedPageBreak/>
              <w:t>Prąd znamionowy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70D5" w:rsidRPr="00BA7D45" w:rsidRDefault="004F70D5" w:rsidP="007020AC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2765" w:type="pct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F70D5" w:rsidRPr="00BA7D45" w:rsidRDefault="009F5237" w:rsidP="007020AC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/>
              </w:rPr>
              <w:t>91</w:t>
            </w:r>
            <w:r w:rsidR="004F70D5">
              <w:rPr>
                <w:rFonts w:ascii="Arial" w:hAnsi="Arial"/>
              </w:rPr>
              <w:t>A</w:t>
            </w:r>
          </w:p>
        </w:tc>
      </w:tr>
      <w:tr w:rsidR="004F70D5" w:rsidRPr="00BA7D45" w:rsidTr="007020AC">
        <w:trPr>
          <w:trHeight w:val="985"/>
          <w:jc w:val="center"/>
        </w:trPr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auto" w:fill="FFFFFF"/>
            <w:vAlign w:val="center"/>
          </w:tcPr>
          <w:p w:rsidR="004F70D5" w:rsidRPr="00BA7D45" w:rsidRDefault="004F70D5" w:rsidP="007020AC">
            <w:pPr>
              <w:rPr>
                <w:kern w:val="0"/>
              </w:rPr>
            </w:pPr>
            <w:r>
              <w:t>Przeciążenie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70D5" w:rsidRPr="00BA7D45" w:rsidRDefault="004F70D5" w:rsidP="007020AC">
            <w:pPr>
              <w:rPr>
                <w:kern w:val="0"/>
              </w:rPr>
            </w:pPr>
            <w:r>
              <w:t>％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F70D5" w:rsidRPr="00B75F1A" w:rsidRDefault="004F70D5" w:rsidP="007020AC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/>
              </w:rPr>
              <w:t>125%</w:t>
            </w:r>
            <w:r>
              <w:t xml:space="preserve"> bez limitu czasu</w:t>
            </w:r>
          </w:p>
          <w:p w:rsidR="004F70D5" w:rsidRPr="00B75F1A" w:rsidRDefault="004F70D5" w:rsidP="007020AC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/>
              </w:rPr>
              <w:t>125%~130%</w:t>
            </w:r>
            <w:r>
              <w:t xml:space="preserve"> przez 10 min</w:t>
            </w:r>
          </w:p>
          <w:p w:rsidR="004F70D5" w:rsidRDefault="004F70D5" w:rsidP="007020AC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/>
              </w:rPr>
              <w:t>130%~150%</w:t>
            </w:r>
            <w:r>
              <w:t xml:space="preserve"> przez 1 min</w:t>
            </w:r>
          </w:p>
          <w:p w:rsidR="004F70D5" w:rsidRPr="00B75F1A" w:rsidRDefault="004F70D5" w:rsidP="007020AC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/>
              </w:rPr>
              <w:t>&gt;150%,300 ms</w:t>
            </w:r>
          </w:p>
        </w:tc>
        <w:tc>
          <w:tcPr>
            <w:tcW w:w="1386" w:type="pc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4F70D5" w:rsidRPr="00B75F1A" w:rsidRDefault="004F70D5" w:rsidP="007020AC">
            <w:pPr>
              <w:rPr>
                <w:rFonts w:ascii="Arial" w:hAnsi="Arial" w:cs="Arial"/>
                <w:kern w:val="0"/>
              </w:rPr>
            </w:pPr>
          </w:p>
        </w:tc>
      </w:tr>
      <w:tr w:rsidR="004F70D5" w:rsidRPr="00BA7D45" w:rsidTr="007020AC">
        <w:trPr>
          <w:trHeight w:val="231"/>
          <w:jc w:val="center"/>
        </w:trPr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4F70D5" w:rsidRPr="00BA7D45" w:rsidRDefault="004F70D5" w:rsidP="007020AC">
            <w:pPr>
              <w:rPr>
                <w:kern w:val="0"/>
              </w:rPr>
            </w:pPr>
            <w:r>
              <w:t>Prąd znamionowy przewodu neutralnego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0D5" w:rsidRPr="00BA7D45" w:rsidRDefault="004F70D5" w:rsidP="007020AC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70D5" w:rsidRPr="00BA7D45" w:rsidRDefault="004F70D5" w:rsidP="007020AC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/>
              </w:rPr>
              <w:t>1,7×In</w:t>
            </w:r>
          </w:p>
        </w:tc>
        <w:tc>
          <w:tcPr>
            <w:tcW w:w="1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70D5" w:rsidRPr="00BA7D45" w:rsidRDefault="004F70D5" w:rsidP="007020AC">
            <w:pPr>
              <w:rPr>
                <w:rFonts w:ascii="Arial" w:hAnsi="Arial" w:cs="Arial"/>
                <w:kern w:val="0"/>
              </w:rPr>
            </w:pPr>
          </w:p>
        </w:tc>
      </w:tr>
      <w:tr w:rsidR="004F70D5" w:rsidRPr="00BA7D45" w:rsidTr="007020AC">
        <w:trPr>
          <w:trHeight w:val="199"/>
          <w:jc w:val="center"/>
        </w:trPr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4F70D5" w:rsidRPr="00BA7D45" w:rsidRDefault="004F70D5" w:rsidP="007020AC">
            <w:pPr>
              <w:rPr>
                <w:kern w:val="0"/>
              </w:rPr>
            </w:pPr>
            <w:r>
              <w:t>Częstotliwość znamionowa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0D5" w:rsidRPr="00BA7D45" w:rsidRDefault="004F70D5" w:rsidP="007020AC">
            <w:pPr>
              <w:rPr>
                <w:rFonts w:ascii="Arial" w:hAnsi="Arial" w:cs="Arial"/>
                <w:kern w:val="0"/>
              </w:rPr>
            </w:pPr>
            <w:proofErr w:type="spellStart"/>
            <w:r>
              <w:rPr>
                <w:rFonts w:ascii="Arial" w:hAnsi="Arial"/>
              </w:rPr>
              <w:t>Hz</w:t>
            </w:r>
            <w:proofErr w:type="spellEnd"/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70D5" w:rsidRPr="00BA7D45" w:rsidRDefault="004F70D5" w:rsidP="007020AC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/>
              </w:rPr>
              <w:t>50/60</w:t>
            </w:r>
          </w:p>
        </w:tc>
        <w:tc>
          <w:tcPr>
            <w:tcW w:w="1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70D5" w:rsidRPr="00BA7D45" w:rsidRDefault="004F70D5" w:rsidP="007020AC">
            <w:pPr>
              <w:rPr>
                <w:rFonts w:ascii="Arial" w:hAnsi="Arial" w:cs="Arial"/>
                <w:kern w:val="0"/>
              </w:rPr>
            </w:pPr>
          </w:p>
        </w:tc>
      </w:tr>
      <w:tr w:rsidR="004F70D5" w:rsidRPr="00BA7D45" w:rsidTr="007020AC">
        <w:trPr>
          <w:trHeight w:val="502"/>
          <w:jc w:val="center"/>
        </w:trPr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4F70D5" w:rsidRPr="00BA7D45" w:rsidRDefault="004F70D5" w:rsidP="007020AC">
            <w:pPr>
              <w:rPr>
                <w:kern w:val="0"/>
              </w:rPr>
            </w:pPr>
            <w:r>
              <w:t>Czas łączenia (między bypassem a falownikiem)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0D5" w:rsidRPr="00BA7D45" w:rsidRDefault="004F70D5" w:rsidP="007020AC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/>
              </w:rPr>
              <w:t>ms</w:t>
            </w:r>
          </w:p>
        </w:tc>
        <w:tc>
          <w:tcPr>
            <w:tcW w:w="27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70D5" w:rsidRPr="00BA7D45" w:rsidRDefault="004F70D5" w:rsidP="007020AC">
            <w:pPr>
              <w:rPr>
                <w:kern w:val="0"/>
              </w:rPr>
            </w:pPr>
            <w:r>
              <w:t>Zsynchronizowane przełączanie: 0 ms</w:t>
            </w:r>
          </w:p>
        </w:tc>
      </w:tr>
      <w:tr w:rsidR="004F70D5" w:rsidRPr="00BA7D45" w:rsidTr="007020AC">
        <w:trPr>
          <w:trHeight w:val="650"/>
          <w:jc w:val="center"/>
        </w:trPr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auto" w:fill="FFFFFF"/>
            <w:vAlign w:val="center"/>
          </w:tcPr>
          <w:p w:rsidR="004F70D5" w:rsidRPr="00BA7D45" w:rsidRDefault="004F70D5" w:rsidP="007020AC">
            <w:pPr>
              <w:rPr>
                <w:kern w:val="0"/>
              </w:rPr>
            </w:pPr>
            <w:r>
              <w:t>Zakres napięcia bypassu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70D5" w:rsidRPr="00BA7D45" w:rsidRDefault="004F70D5" w:rsidP="007020AC">
            <w:pPr>
              <w:rPr>
                <w:kern w:val="0"/>
              </w:rPr>
            </w:pPr>
            <w:r>
              <w:t>%</w:t>
            </w:r>
          </w:p>
        </w:tc>
        <w:tc>
          <w:tcPr>
            <w:tcW w:w="2765" w:type="pct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4F70D5" w:rsidRPr="009671FA" w:rsidRDefault="004F70D5" w:rsidP="007020AC">
            <w:pPr>
              <w:rPr>
                <w:kern w:val="0"/>
              </w:rPr>
            </w:pPr>
            <w:r>
              <w:t>Zakres regulacji; domyślnie: -20%~+15%</w:t>
            </w:r>
          </w:p>
          <w:p w:rsidR="004F70D5" w:rsidRPr="009671FA" w:rsidRDefault="004F70D5" w:rsidP="007020AC">
            <w:pPr>
              <w:rPr>
                <w:kern w:val="0"/>
              </w:rPr>
            </w:pPr>
            <w:r>
              <w:t>Górny limit: +10%, +15%, +20%, +25%</w:t>
            </w:r>
          </w:p>
          <w:p w:rsidR="004F70D5" w:rsidRPr="008C3E42" w:rsidRDefault="004F70D5" w:rsidP="007020AC">
            <w:pPr>
              <w:rPr>
                <w:kern w:val="0"/>
              </w:rPr>
            </w:pPr>
            <w:r>
              <w:t>Dolny limit: -10%, -15%, -20%, -30%, -40%</w:t>
            </w:r>
          </w:p>
        </w:tc>
      </w:tr>
      <w:tr w:rsidR="004F70D5" w:rsidRPr="00BA7D45" w:rsidTr="00DC0C0A">
        <w:trPr>
          <w:trHeight w:val="311"/>
          <w:jc w:val="center"/>
        </w:trPr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4F70D5" w:rsidRPr="00BA7D45" w:rsidRDefault="004F70D5" w:rsidP="007020AC">
            <w:pPr>
              <w:rPr>
                <w:kern w:val="0"/>
              </w:rPr>
            </w:pPr>
            <w:r>
              <w:t>Zakres częstotliwości bypassu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0D5" w:rsidRPr="00BA7D45" w:rsidRDefault="004F70D5" w:rsidP="007020AC">
            <w:pPr>
              <w:rPr>
                <w:kern w:val="0"/>
              </w:rPr>
            </w:pPr>
            <w:proofErr w:type="spellStart"/>
            <w:r>
              <w:rPr>
                <w:rFonts w:ascii="Arial" w:hAnsi="Arial"/>
              </w:rPr>
              <w:t>Hz</w:t>
            </w:r>
            <w:proofErr w:type="spellEnd"/>
          </w:p>
        </w:tc>
        <w:tc>
          <w:tcPr>
            <w:tcW w:w="27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70D5" w:rsidRPr="00D92DDA" w:rsidRDefault="004F70D5" w:rsidP="007020AC">
            <w:pPr>
              <w:rPr>
                <w:rFonts w:ascii="Arial" w:hAnsi="Arial" w:cs="Arial"/>
                <w:kern w:val="0"/>
              </w:rPr>
            </w:pPr>
            <w:bookmarkStart w:id="23" w:name="OLE_LINK38"/>
            <w:r>
              <w:t>Zakres regulacji</w:t>
            </w:r>
            <w:bookmarkEnd w:id="23"/>
            <w:r>
              <w:t xml:space="preserve">, ±1 </w:t>
            </w:r>
            <w:proofErr w:type="spellStart"/>
            <w:r>
              <w:t>Hz</w:t>
            </w:r>
            <w:proofErr w:type="spellEnd"/>
            <w:r>
              <w:t xml:space="preserve">, ±3 </w:t>
            </w:r>
            <w:proofErr w:type="spellStart"/>
            <w:r>
              <w:t>Hz</w:t>
            </w:r>
            <w:proofErr w:type="spellEnd"/>
            <w:r>
              <w:t xml:space="preserve">, ±5 </w:t>
            </w:r>
            <w:proofErr w:type="spellStart"/>
            <w:r>
              <w:t>Hz</w:t>
            </w:r>
            <w:proofErr w:type="spellEnd"/>
          </w:p>
        </w:tc>
      </w:tr>
      <w:tr w:rsidR="004F70D5" w:rsidRPr="00BA7D45" w:rsidTr="00DC0C0A">
        <w:trPr>
          <w:trHeight w:val="233"/>
          <w:jc w:val="center"/>
        </w:trPr>
        <w:tc>
          <w:tcPr>
            <w:tcW w:w="18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4F70D5" w:rsidRPr="00BA7D45" w:rsidRDefault="004F70D5" w:rsidP="007020AC">
            <w:pPr>
              <w:rPr>
                <w:kern w:val="0"/>
              </w:rPr>
            </w:pPr>
            <w:r>
              <w:t>Zakres synchronizacji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0D5" w:rsidRPr="00BA7D45" w:rsidRDefault="004F70D5" w:rsidP="007020AC">
            <w:pPr>
              <w:rPr>
                <w:rFonts w:ascii="Arial" w:hAnsi="Arial" w:cs="Arial"/>
                <w:kern w:val="0"/>
              </w:rPr>
            </w:pPr>
            <w:proofErr w:type="spellStart"/>
            <w:r>
              <w:rPr>
                <w:rFonts w:ascii="Arial" w:hAnsi="Arial"/>
              </w:rPr>
              <w:t>Hz</w:t>
            </w:r>
            <w:proofErr w:type="spellEnd"/>
          </w:p>
        </w:tc>
        <w:tc>
          <w:tcPr>
            <w:tcW w:w="276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70D5" w:rsidRPr="00BA7D45" w:rsidRDefault="004F70D5" w:rsidP="007020AC">
            <w:pPr>
              <w:rPr>
                <w:kern w:val="0"/>
              </w:rPr>
            </w:pPr>
            <w:r>
              <w:t>Zakres regulacji ±0,5 </w:t>
            </w:r>
            <w:proofErr w:type="spellStart"/>
            <w:r>
              <w:t>Hz</w:t>
            </w:r>
            <w:proofErr w:type="spellEnd"/>
            <w:r>
              <w:t>~±5 </w:t>
            </w:r>
            <w:proofErr w:type="spellStart"/>
            <w:r>
              <w:t>Hz</w:t>
            </w:r>
            <w:proofErr w:type="spellEnd"/>
            <w:r>
              <w:t>, domyślnie ±3 </w:t>
            </w:r>
            <w:proofErr w:type="spellStart"/>
            <w:r>
              <w:t>Hz</w:t>
            </w:r>
            <w:proofErr w:type="spellEnd"/>
          </w:p>
        </w:tc>
      </w:tr>
      <w:tr w:rsidR="00DC0C0A" w:rsidRPr="00BA7D45" w:rsidTr="00DC0C0A">
        <w:trPr>
          <w:trHeight w:val="233"/>
          <w:jc w:val="center"/>
        </w:trPr>
        <w:tc>
          <w:tcPr>
            <w:tcW w:w="18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DC0C0A" w:rsidRDefault="00DC0C0A" w:rsidP="007020AC">
            <w:r>
              <w:t>Bypass zewnętrzny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C0A" w:rsidRDefault="00DC0C0A" w:rsidP="007020AC">
            <w:pPr>
              <w:rPr>
                <w:rFonts w:ascii="Arial" w:hAnsi="Arial"/>
              </w:rPr>
            </w:pPr>
          </w:p>
        </w:tc>
        <w:tc>
          <w:tcPr>
            <w:tcW w:w="276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0C0A" w:rsidRDefault="00DC0C0A" w:rsidP="007020AC">
            <w:r>
              <w:t>Zewnętrzny ręczny by-pass serwisowy do bezprzerwowego załączenia zasilania awaryjnego</w:t>
            </w:r>
          </w:p>
        </w:tc>
      </w:tr>
    </w:tbl>
    <w:p w:rsidR="004F70D5" w:rsidRDefault="004F70D5" w:rsidP="004F70D5">
      <w:pPr>
        <w:pStyle w:val="1"/>
        <w:ind w:left="0"/>
      </w:pPr>
    </w:p>
    <w:p w:rsidR="004F70D5" w:rsidRPr="00650B95" w:rsidRDefault="004F70D5" w:rsidP="004F70D5">
      <w:pPr>
        <w:pStyle w:val="Nagwek2"/>
        <w:spacing w:before="240" w:after="240"/>
        <w:rPr>
          <w:kern w:val="0"/>
        </w:rPr>
      </w:pPr>
      <w:bookmarkStart w:id="24" w:name="_Toc440438942"/>
      <w:bookmarkStart w:id="25" w:name="_Toc517688304"/>
      <w:r>
        <w:t>Sprawność</w:t>
      </w:r>
      <w:bookmarkEnd w:id="24"/>
      <w:bookmarkEnd w:id="25"/>
    </w:p>
    <w:p w:rsidR="004F70D5" w:rsidRDefault="004F70D5" w:rsidP="004F70D5">
      <w:pPr>
        <w:pStyle w:val="Legenda"/>
        <w:keepNext/>
        <w:jc w:val="center"/>
      </w:pPr>
      <w:r>
        <w:t xml:space="preserve">Tabela </w:t>
      </w:r>
      <w:fldSimple w:instr=" SEQ Table \* ARABIC \s 1 ">
        <w:r>
          <w:rPr>
            <w:noProof/>
          </w:rPr>
          <w:t>9</w:t>
        </w:r>
      </w:fldSimple>
      <w:r>
        <w:t xml:space="preserve"> </w:t>
      </w:r>
      <w:r>
        <w:rPr>
          <w:rFonts w:ascii="Times New Roman" w:hAnsi="Times New Roman"/>
          <w:sz w:val="21"/>
          <w:szCs w:val="21"/>
        </w:rPr>
        <w:t>Sprawność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5"/>
        <w:gridCol w:w="997"/>
        <w:gridCol w:w="2361"/>
        <w:gridCol w:w="2979"/>
      </w:tblGrid>
      <w:tr w:rsidR="007E2316" w:rsidRPr="0065585E" w:rsidTr="007E2316">
        <w:trPr>
          <w:trHeight w:val="59"/>
          <w:jc w:val="center"/>
        </w:trPr>
        <w:tc>
          <w:tcPr>
            <w:tcW w:w="1282" w:type="pct"/>
            <w:shd w:val="pct25" w:color="auto" w:fill="auto"/>
            <w:tcMar>
              <w:left w:w="108" w:type="dxa"/>
              <w:right w:w="108" w:type="dxa"/>
            </w:tcMar>
            <w:vAlign w:val="center"/>
          </w:tcPr>
          <w:p w:rsidR="007E2316" w:rsidRPr="00650B95" w:rsidRDefault="007E2316" w:rsidP="007020AC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Poz.</w:t>
            </w:r>
          </w:p>
        </w:tc>
        <w:tc>
          <w:tcPr>
            <w:tcW w:w="585" w:type="pct"/>
            <w:shd w:val="pct25" w:color="auto" w:fill="auto"/>
            <w:tcMar>
              <w:left w:w="108" w:type="dxa"/>
              <w:right w:w="108" w:type="dxa"/>
            </w:tcMar>
            <w:vAlign w:val="center"/>
          </w:tcPr>
          <w:p w:rsidR="007E2316" w:rsidRPr="00650B95" w:rsidRDefault="007E2316" w:rsidP="007020AC">
            <w:pPr>
              <w:rPr>
                <w:b/>
                <w:sz w:val="18"/>
                <w:szCs w:val="18"/>
              </w:rPr>
            </w:pPr>
            <w:r>
              <w:rPr>
                <w:rFonts w:hAnsi="SimSun"/>
                <w:b/>
                <w:sz w:val="18"/>
                <w:szCs w:val="18"/>
              </w:rPr>
              <w:t>Jednostka</w:t>
            </w:r>
          </w:p>
        </w:tc>
        <w:tc>
          <w:tcPr>
            <w:tcW w:w="1385" w:type="pct"/>
            <w:shd w:val="pct25" w:color="auto" w:fill="auto"/>
            <w:tcMar>
              <w:left w:w="108" w:type="dxa"/>
              <w:right w:w="108" w:type="dxa"/>
            </w:tcMar>
            <w:vAlign w:val="center"/>
          </w:tcPr>
          <w:p w:rsidR="007E2316" w:rsidRPr="00650B95" w:rsidRDefault="009F5237" w:rsidP="00756C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="007E2316">
              <w:rPr>
                <w:rFonts w:ascii="Arial" w:hAnsi="Arial"/>
                <w:b/>
                <w:iCs/>
                <w:sz w:val="18"/>
                <w:szCs w:val="18"/>
              </w:rPr>
              <w:t xml:space="preserve"> kVA </w:t>
            </w:r>
          </w:p>
        </w:tc>
        <w:tc>
          <w:tcPr>
            <w:tcW w:w="1748" w:type="pct"/>
            <w:shd w:val="pct25" w:color="auto" w:fill="auto"/>
            <w:vAlign w:val="center"/>
          </w:tcPr>
          <w:p w:rsidR="007E2316" w:rsidRPr="00650B95" w:rsidRDefault="007E2316" w:rsidP="004F70D5">
            <w:pPr>
              <w:rPr>
                <w:b/>
                <w:sz w:val="18"/>
                <w:szCs w:val="18"/>
              </w:rPr>
            </w:pPr>
          </w:p>
        </w:tc>
      </w:tr>
      <w:tr w:rsidR="007E2316" w:rsidRPr="00F65BCF" w:rsidTr="007020AC">
        <w:trPr>
          <w:trHeight w:val="59"/>
          <w:jc w:val="center"/>
        </w:trPr>
        <w:tc>
          <w:tcPr>
            <w:tcW w:w="5000" w:type="pct"/>
            <w:gridSpan w:val="4"/>
            <w:tcMar>
              <w:left w:w="108" w:type="dxa"/>
              <w:right w:w="108" w:type="dxa"/>
            </w:tcMar>
            <w:vAlign w:val="center"/>
          </w:tcPr>
          <w:p w:rsidR="007E2316" w:rsidRPr="00F65BCF" w:rsidRDefault="007E2316" w:rsidP="007020AC">
            <w:pPr>
              <w:jc w:val="center"/>
              <w:rPr>
                <w:rFonts w:hAnsi="SimSun"/>
                <w:sz w:val="18"/>
                <w:szCs w:val="18"/>
              </w:rPr>
            </w:pPr>
            <w:r>
              <w:t>Ogólna sprawność</w:t>
            </w:r>
          </w:p>
        </w:tc>
      </w:tr>
      <w:tr w:rsidR="007E2316" w:rsidRPr="00F65BCF" w:rsidTr="007E2316">
        <w:trPr>
          <w:trHeight w:val="59"/>
          <w:jc w:val="center"/>
        </w:trPr>
        <w:tc>
          <w:tcPr>
            <w:tcW w:w="1282" w:type="pct"/>
            <w:tcMar>
              <w:left w:w="108" w:type="dxa"/>
              <w:right w:w="108" w:type="dxa"/>
            </w:tcMar>
            <w:vAlign w:val="center"/>
          </w:tcPr>
          <w:p w:rsidR="007E2316" w:rsidRPr="00F65BCF" w:rsidRDefault="007E2316" w:rsidP="007020AC">
            <w:pPr>
              <w:rPr>
                <w:rFonts w:ascii="Arial" w:hAnsi="Arial" w:cs="Arial"/>
                <w:sz w:val="18"/>
                <w:szCs w:val="18"/>
              </w:rPr>
            </w:pPr>
            <w:r>
              <w:t>Tryb normalny (podwójna konwersja)</w:t>
            </w:r>
          </w:p>
        </w:tc>
        <w:tc>
          <w:tcPr>
            <w:tcW w:w="585" w:type="pct"/>
            <w:tcMar>
              <w:left w:w="108" w:type="dxa"/>
              <w:right w:w="108" w:type="dxa"/>
            </w:tcMar>
            <w:vAlign w:val="center"/>
          </w:tcPr>
          <w:p w:rsidR="007E2316" w:rsidRPr="003F73F8" w:rsidRDefault="007E2316" w:rsidP="007020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SimSun"/>
                <w:sz w:val="18"/>
                <w:szCs w:val="18"/>
              </w:rPr>
              <w:t>％</w:t>
            </w:r>
          </w:p>
        </w:tc>
        <w:tc>
          <w:tcPr>
            <w:tcW w:w="1385" w:type="pct"/>
            <w:tcMar>
              <w:left w:w="108" w:type="dxa"/>
              <w:right w:w="108" w:type="dxa"/>
            </w:tcMar>
            <w:vAlign w:val="center"/>
          </w:tcPr>
          <w:p w:rsidR="007E2316" w:rsidRPr="00F65BCF" w:rsidRDefault="007E2316" w:rsidP="007020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&gt;95</w:t>
            </w:r>
          </w:p>
        </w:tc>
        <w:tc>
          <w:tcPr>
            <w:tcW w:w="1748" w:type="pct"/>
            <w:vAlign w:val="center"/>
          </w:tcPr>
          <w:p w:rsidR="007E2316" w:rsidRPr="003F73F8" w:rsidRDefault="007E2316" w:rsidP="007020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316" w:rsidRPr="00F65BCF" w:rsidTr="007E2316">
        <w:trPr>
          <w:trHeight w:val="59"/>
          <w:jc w:val="center"/>
        </w:trPr>
        <w:tc>
          <w:tcPr>
            <w:tcW w:w="1282" w:type="pct"/>
            <w:tcMar>
              <w:left w:w="108" w:type="dxa"/>
              <w:right w:w="108" w:type="dxa"/>
            </w:tcMar>
            <w:vAlign w:val="center"/>
          </w:tcPr>
          <w:p w:rsidR="007E2316" w:rsidRPr="00F65BCF" w:rsidRDefault="007E2316" w:rsidP="007020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Tryb</w:t>
            </w:r>
            <w:r>
              <w:rPr>
                <w:rFonts w:ascii="Arial" w:hAnsi="SimSun"/>
                <w:sz w:val="18"/>
                <w:szCs w:val="18"/>
              </w:rPr>
              <w:t xml:space="preserve"> ECO</w:t>
            </w:r>
          </w:p>
        </w:tc>
        <w:tc>
          <w:tcPr>
            <w:tcW w:w="585" w:type="pct"/>
            <w:tcMar>
              <w:left w:w="108" w:type="dxa"/>
              <w:right w:w="108" w:type="dxa"/>
            </w:tcMar>
            <w:vAlign w:val="center"/>
          </w:tcPr>
          <w:p w:rsidR="007E2316" w:rsidRPr="00F65BCF" w:rsidRDefault="007E2316" w:rsidP="007020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SimSun"/>
                <w:sz w:val="18"/>
                <w:szCs w:val="18"/>
              </w:rPr>
              <w:t>％</w:t>
            </w:r>
          </w:p>
        </w:tc>
        <w:tc>
          <w:tcPr>
            <w:tcW w:w="3133" w:type="pct"/>
            <w:gridSpan w:val="2"/>
            <w:tcMar>
              <w:left w:w="108" w:type="dxa"/>
              <w:right w:w="108" w:type="dxa"/>
            </w:tcMar>
            <w:vAlign w:val="center"/>
          </w:tcPr>
          <w:p w:rsidR="007E2316" w:rsidRPr="00F65BCF" w:rsidRDefault="007E2316" w:rsidP="007020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&gt;99</w:t>
            </w:r>
          </w:p>
        </w:tc>
      </w:tr>
      <w:tr w:rsidR="007E2316" w:rsidRPr="00F65BCF" w:rsidTr="007020AC">
        <w:trPr>
          <w:trHeight w:val="59"/>
          <w:jc w:val="center"/>
        </w:trPr>
        <w:tc>
          <w:tcPr>
            <w:tcW w:w="5000" w:type="pct"/>
            <w:gridSpan w:val="4"/>
            <w:tcMar>
              <w:left w:w="108" w:type="dxa"/>
              <w:right w:w="108" w:type="dxa"/>
            </w:tcMar>
            <w:vAlign w:val="center"/>
          </w:tcPr>
          <w:p w:rsidR="007E2316" w:rsidRPr="0065585E" w:rsidRDefault="007E2316" w:rsidP="007020AC">
            <w:pPr>
              <w:jc w:val="center"/>
              <w:rPr>
                <w:rFonts w:hAnsi="SimSun"/>
                <w:sz w:val="18"/>
                <w:szCs w:val="18"/>
              </w:rPr>
            </w:pPr>
            <w:r>
              <w:t>Sprawność pracy bateryjnej (akumulatory o znamionowym napięciu 480 V DC oraz pełne obciążenie liniowe)</w:t>
            </w:r>
          </w:p>
        </w:tc>
      </w:tr>
      <w:tr w:rsidR="007E2316" w:rsidRPr="00F65BCF" w:rsidTr="007E2316">
        <w:trPr>
          <w:trHeight w:val="59"/>
          <w:jc w:val="center"/>
        </w:trPr>
        <w:tc>
          <w:tcPr>
            <w:tcW w:w="1282" w:type="pct"/>
            <w:tcMar>
              <w:left w:w="108" w:type="dxa"/>
              <w:right w:w="108" w:type="dxa"/>
            </w:tcMar>
            <w:vAlign w:val="center"/>
          </w:tcPr>
          <w:p w:rsidR="007E2316" w:rsidRPr="00F65BCF" w:rsidRDefault="007E2316" w:rsidP="007020AC">
            <w:pPr>
              <w:rPr>
                <w:rFonts w:ascii="Arial" w:hAnsi="Arial" w:cs="Arial"/>
                <w:sz w:val="18"/>
                <w:szCs w:val="18"/>
              </w:rPr>
            </w:pPr>
            <w:r>
              <w:t>Tryb bateryjny</w:t>
            </w:r>
          </w:p>
        </w:tc>
        <w:tc>
          <w:tcPr>
            <w:tcW w:w="585" w:type="pct"/>
            <w:tcMar>
              <w:left w:w="108" w:type="dxa"/>
              <w:right w:w="108" w:type="dxa"/>
            </w:tcMar>
            <w:vAlign w:val="center"/>
          </w:tcPr>
          <w:p w:rsidR="007E2316" w:rsidRPr="00F65BCF" w:rsidRDefault="007E2316" w:rsidP="007020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SimSun"/>
                <w:sz w:val="18"/>
                <w:szCs w:val="18"/>
              </w:rPr>
              <w:t>％</w:t>
            </w:r>
          </w:p>
        </w:tc>
        <w:tc>
          <w:tcPr>
            <w:tcW w:w="1385" w:type="pct"/>
            <w:tcMar>
              <w:left w:w="108" w:type="dxa"/>
              <w:right w:w="108" w:type="dxa"/>
            </w:tcMar>
            <w:vAlign w:val="center"/>
          </w:tcPr>
          <w:p w:rsidR="007E2316" w:rsidRPr="00F65BCF" w:rsidRDefault="007E2316" w:rsidP="007020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&gt;95</w:t>
            </w:r>
          </w:p>
        </w:tc>
        <w:tc>
          <w:tcPr>
            <w:tcW w:w="1748" w:type="pct"/>
            <w:vAlign w:val="center"/>
          </w:tcPr>
          <w:p w:rsidR="007E2316" w:rsidRPr="00F65BCF" w:rsidRDefault="007E2316" w:rsidP="007020AC">
            <w:pPr>
              <w:rPr>
                <w:rFonts w:ascii="Arial" w:hAnsi="Arial" w:cs="Arial"/>
                <w:sz w:val="18"/>
                <w:szCs w:val="18"/>
              </w:rPr>
            </w:pPr>
            <w:bookmarkStart w:id="26" w:name="_GoBack"/>
            <w:bookmarkEnd w:id="26"/>
          </w:p>
        </w:tc>
      </w:tr>
    </w:tbl>
    <w:p w:rsidR="004F70D5" w:rsidRDefault="004F70D5" w:rsidP="004F70D5">
      <w:pPr>
        <w:rPr>
          <w:lang w:val="en-GB"/>
        </w:rPr>
      </w:pPr>
    </w:p>
    <w:p w:rsidR="004F70D5" w:rsidRPr="00840200" w:rsidRDefault="004F70D5" w:rsidP="004F70D5">
      <w:pPr>
        <w:pStyle w:val="Nagwek2"/>
        <w:spacing w:before="240" w:after="240"/>
        <w:rPr>
          <w:kern w:val="0"/>
        </w:rPr>
      </w:pPr>
      <w:bookmarkStart w:id="27" w:name="_Toc440438943"/>
      <w:bookmarkStart w:id="28" w:name="_Toc517688305"/>
      <w:r>
        <w:t>Wskaźniki i interfejs</w:t>
      </w:r>
      <w:bookmarkEnd w:id="27"/>
      <w:r>
        <w:t>y</w:t>
      </w:r>
      <w:bookmarkEnd w:id="28"/>
      <w:r>
        <w:tab/>
      </w:r>
    </w:p>
    <w:p w:rsidR="004F70D5" w:rsidRDefault="004F70D5" w:rsidP="004F70D5">
      <w:pPr>
        <w:pStyle w:val="Legenda"/>
        <w:keepNext/>
        <w:jc w:val="center"/>
      </w:pPr>
      <w:r>
        <w:t xml:space="preserve">Tabela </w:t>
      </w:r>
      <w:fldSimple w:instr=" SEQ Table \* ARABIC \s 1 ">
        <w:r>
          <w:rPr>
            <w:noProof/>
          </w:rPr>
          <w:t>10</w:t>
        </w:r>
      </w:fldSimple>
      <w:r>
        <w:t xml:space="preserve"> Wskaźniki i interfejsy</w:t>
      </w:r>
    </w:p>
    <w:tbl>
      <w:tblPr>
        <w:tblW w:w="7923" w:type="dxa"/>
        <w:jc w:val="center"/>
        <w:tblLook w:val="0000" w:firstRow="0" w:lastRow="0" w:firstColumn="0" w:lastColumn="0" w:noHBand="0" w:noVBand="0"/>
      </w:tblPr>
      <w:tblGrid>
        <w:gridCol w:w="2557"/>
        <w:gridCol w:w="5366"/>
      </w:tblGrid>
      <w:tr w:rsidR="004F70D5" w:rsidRPr="00722EB2" w:rsidTr="007020AC">
        <w:trPr>
          <w:trHeight w:val="28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4F70D5" w:rsidRPr="009E7C0F" w:rsidRDefault="004F70D5" w:rsidP="007020AC">
            <w:pPr>
              <w:rPr>
                <w:rFonts w:ascii="SimSun" w:hAnsi="SimSun" w:cs="SimSun"/>
                <w:b/>
                <w:kern w:val="0"/>
                <w:sz w:val="18"/>
                <w:szCs w:val="18"/>
              </w:rPr>
            </w:pPr>
            <w:r>
              <w:t>Wskaźniki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4F70D5" w:rsidRPr="009E7C0F" w:rsidRDefault="004F70D5" w:rsidP="007020AC">
            <w:pPr>
              <w:rPr>
                <w:rFonts w:ascii="SimSun" w:hAnsi="SimSun" w:cs="Arial"/>
                <w:b/>
                <w:kern w:val="0"/>
                <w:sz w:val="18"/>
                <w:szCs w:val="18"/>
              </w:rPr>
            </w:pPr>
            <w:r>
              <w:t>LED + LCD + kolorowy ekran dotykowy</w:t>
            </w:r>
          </w:p>
        </w:tc>
      </w:tr>
      <w:tr w:rsidR="004F70D5" w:rsidRPr="00722EB2" w:rsidTr="007020AC">
        <w:trPr>
          <w:trHeight w:val="570"/>
          <w:jc w:val="center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0D5" w:rsidRPr="00251C5C" w:rsidRDefault="004F70D5" w:rsidP="007020AC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t>Interfejsy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D5" w:rsidRDefault="004F70D5" w:rsidP="007020AC">
            <w:pPr>
              <w:rPr>
                <w:rFonts w:ascii="Arial" w:hAnsi="Arial" w:cs="Arial"/>
                <w:noProof/>
                <w:kern w:val="0"/>
                <w:sz w:val="18"/>
                <w:szCs w:val="18"/>
              </w:rPr>
            </w:pPr>
            <w:r>
              <w:t>Wyposażenie standardowe:</w:t>
            </w:r>
            <w:r>
              <w:rPr>
                <w:rFonts w:ascii="Arial" w:hAnsi="Arial"/>
                <w:sz w:val="18"/>
                <w:szCs w:val="18"/>
              </w:rPr>
              <w:t>RS232, RS485, USB,</w:t>
            </w:r>
            <w:r>
              <w:t xml:space="preserve"> styki </w:t>
            </w:r>
            <w:proofErr w:type="spellStart"/>
            <w:r>
              <w:t>bezpotencjałowe</w:t>
            </w:r>
            <w:proofErr w:type="spellEnd"/>
            <w:r w:rsidR="007A5867">
              <w:t xml:space="preserve"> programowane</w:t>
            </w:r>
          </w:p>
          <w:p w:rsidR="004F70D5" w:rsidRPr="00251C5C" w:rsidRDefault="004F70D5" w:rsidP="007020AC">
            <w:pPr>
              <w:rPr>
                <w:rFonts w:ascii="SimSun" w:hAnsi="SimSun" w:cs="Arial"/>
                <w:kern w:val="0"/>
                <w:sz w:val="18"/>
                <w:szCs w:val="18"/>
              </w:rPr>
            </w:pPr>
          </w:p>
        </w:tc>
      </w:tr>
    </w:tbl>
    <w:p w:rsidR="004F70D5" w:rsidRPr="00650B95" w:rsidRDefault="004F70D5" w:rsidP="004F70D5"/>
    <w:p w:rsidR="00DC0C0A" w:rsidRPr="00840200" w:rsidRDefault="00DC0C0A" w:rsidP="00DC0C0A">
      <w:pPr>
        <w:pStyle w:val="Nagwek2"/>
        <w:spacing w:before="240" w:after="240"/>
        <w:rPr>
          <w:kern w:val="0"/>
        </w:rPr>
      </w:pPr>
      <w:r>
        <w:t>Wyposażenie dodatkowe</w:t>
      </w:r>
      <w:r>
        <w:tab/>
      </w:r>
    </w:p>
    <w:p w:rsidR="00DC0C0A" w:rsidRDefault="00DC0C0A" w:rsidP="00DC0C0A">
      <w:pPr>
        <w:pStyle w:val="Legenda"/>
        <w:keepNext/>
        <w:jc w:val="center"/>
      </w:pPr>
      <w:r>
        <w:t>Tabela 11 wyposażenie dodatkowe</w:t>
      </w:r>
    </w:p>
    <w:tbl>
      <w:tblPr>
        <w:tblW w:w="7923" w:type="dxa"/>
        <w:jc w:val="center"/>
        <w:tblLook w:val="0000" w:firstRow="0" w:lastRow="0" w:firstColumn="0" w:lastColumn="0" w:noHBand="0" w:noVBand="0"/>
      </w:tblPr>
      <w:tblGrid>
        <w:gridCol w:w="2557"/>
        <w:gridCol w:w="5366"/>
      </w:tblGrid>
      <w:tr w:rsidR="00DC0C0A" w:rsidRPr="00722EB2" w:rsidTr="00756C41">
        <w:trPr>
          <w:trHeight w:val="28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C0C0A" w:rsidRPr="009E7C0F" w:rsidRDefault="00DC0C0A" w:rsidP="00756C41">
            <w:pPr>
              <w:rPr>
                <w:rFonts w:ascii="SimSun" w:hAnsi="SimSun" w:cs="SimSun"/>
                <w:b/>
                <w:kern w:val="0"/>
                <w:sz w:val="18"/>
                <w:szCs w:val="18"/>
              </w:rPr>
            </w:pPr>
            <w:r>
              <w:t>SNMP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C0C0A" w:rsidRPr="009E7C0F" w:rsidRDefault="00DC0C0A" w:rsidP="00756C41">
            <w:pPr>
              <w:rPr>
                <w:rFonts w:ascii="SimSun" w:hAnsi="SimSun" w:cs="Arial"/>
                <w:b/>
                <w:kern w:val="0"/>
                <w:sz w:val="18"/>
                <w:szCs w:val="18"/>
              </w:rPr>
            </w:pPr>
            <w:r w:rsidRPr="00DC0C0A">
              <w:t xml:space="preserve">Karta SNMP z wielopoziomowym uwierzytelnianiem i portami komunikacyjnymi: Ethernet, interfejsem czujnika stężenia mieszanki wybuchowej wodoru, interfejsem czujnika temperatury i wilgotności. Wizualizacja </w:t>
            </w:r>
            <w:r w:rsidRPr="00DC0C0A">
              <w:lastRenderedPageBreak/>
              <w:t>mierzonych wartości z czujników poprzez interfejs www karty SNMP.</w:t>
            </w:r>
          </w:p>
        </w:tc>
      </w:tr>
      <w:tr w:rsidR="00DC0C0A" w:rsidRPr="00722EB2" w:rsidTr="00756C41">
        <w:trPr>
          <w:trHeight w:val="570"/>
          <w:jc w:val="center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C0A" w:rsidRPr="00251C5C" w:rsidRDefault="00DC0C0A" w:rsidP="00DC0C0A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  <w:r w:rsidRPr="00DC0C0A">
              <w:lastRenderedPageBreak/>
              <w:t>Czujnik stężenia wodoru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0A" w:rsidRPr="00251C5C" w:rsidRDefault="00DC0C0A" w:rsidP="00756C41">
            <w:pPr>
              <w:rPr>
                <w:rFonts w:ascii="SimSun" w:hAnsi="SimSun" w:cs="Arial"/>
                <w:kern w:val="0"/>
                <w:sz w:val="18"/>
                <w:szCs w:val="18"/>
              </w:rPr>
            </w:pPr>
            <w:r w:rsidRPr="00DC0C0A">
              <w:t>Czujnik stężenia mieszanki wybuchowej wodoru skalibrowany na detekcję stężenia 20 i 40% DGW (należy dołączyć świadectwo kalibracji z akredytowanego laboratorium). Podczas montażu należy przeprowadzić test działania sensora przy użyciu mieszanki testowej.</w:t>
            </w:r>
          </w:p>
        </w:tc>
      </w:tr>
    </w:tbl>
    <w:p w:rsidR="00172491" w:rsidRDefault="009F5237"/>
    <w:sectPr w:rsidR="00172491" w:rsidSect="00884F92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81EC5"/>
    <w:multiLevelType w:val="multilevel"/>
    <w:tmpl w:val="5E8E06A8"/>
    <w:lvl w:ilvl="0">
      <w:start w:val="1"/>
      <w:numFmt w:val="decimal"/>
      <w:pStyle w:val="Nagwek1"/>
      <w:lvlText w:val="%1"/>
      <w:lvlJc w:val="left"/>
      <w:pPr>
        <w:ind w:left="3551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D5"/>
    <w:rsid w:val="00050423"/>
    <w:rsid w:val="001B3B63"/>
    <w:rsid w:val="00230863"/>
    <w:rsid w:val="002368F3"/>
    <w:rsid w:val="002D08D8"/>
    <w:rsid w:val="004F70D5"/>
    <w:rsid w:val="006827F2"/>
    <w:rsid w:val="007A5867"/>
    <w:rsid w:val="007E2316"/>
    <w:rsid w:val="009F5237"/>
    <w:rsid w:val="00DC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0D5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Nagwek1">
    <w:name w:val="heading 1"/>
    <w:aliases w:val="标题 1(self)"/>
    <w:basedOn w:val="Normalny"/>
    <w:next w:val="Normalny"/>
    <w:link w:val="Nagwek1Znak"/>
    <w:autoRedefine/>
    <w:qFormat/>
    <w:rsid w:val="004F70D5"/>
    <w:pPr>
      <w:keepNext/>
      <w:keepLines/>
      <w:numPr>
        <w:numId w:val="1"/>
      </w:numPr>
      <w:spacing w:before="120" w:afterLines="50"/>
      <w:ind w:left="432"/>
      <w:jc w:val="center"/>
      <w:outlineLvl w:val="0"/>
    </w:pPr>
    <w:rPr>
      <w:b/>
      <w:bCs/>
      <w:kern w:val="44"/>
      <w:sz w:val="36"/>
      <w:szCs w:val="36"/>
    </w:rPr>
  </w:style>
  <w:style w:type="paragraph" w:styleId="Nagwek2">
    <w:name w:val="heading 2"/>
    <w:aliases w:val="标题 2(self)"/>
    <w:basedOn w:val="Normalny"/>
    <w:next w:val="Normalny"/>
    <w:link w:val="Nagwek2Znak"/>
    <w:qFormat/>
    <w:rsid w:val="004F70D5"/>
    <w:pPr>
      <w:keepNext/>
      <w:numPr>
        <w:ilvl w:val="1"/>
        <w:numId w:val="1"/>
      </w:numPr>
      <w:adjustRightInd w:val="0"/>
      <w:snapToGrid w:val="0"/>
      <w:spacing w:beforeLines="100" w:afterLines="100"/>
      <w:outlineLvl w:val="1"/>
    </w:pPr>
    <w:rPr>
      <w:rFonts w:ascii="Arial" w:eastAsia="Times New Roman" w:hAnsi="Arial"/>
      <w:b/>
      <w:bCs/>
      <w:color w:val="000000"/>
      <w:sz w:val="28"/>
    </w:rPr>
  </w:style>
  <w:style w:type="paragraph" w:styleId="Nagwek3">
    <w:name w:val="heading 3"/>
    <w:aliases w:val="标题 3(self)"/>
    <w:basedOn w:val="Normalny"/>
    <w:next w:val="Normalny"/>
    <w:link w:val="Nagwek3Znak"/>
    <w:qFormat/>
    <w:rsid w:val="004F70D5"/>
    <w:pPr>
      <w:keepNext/>
      <w:keepLines/>
      <w:numPr>
        <w:ilvl w:val="2"/>
        <w:numId w:val="1"/>
      </w:numPr>
      <w:spacing w:before="240" w:after="240"/>
      <w:outlineLvl w:val="2"/>
    </w:pPr>
    <w:rPr>
      <w:rFonts w:eastAsia="Times New Roman"/>
      <w:b/>
      <w:bCs/>
      <w:sz w:val="24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F70D5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F70D5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F70D5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F70D5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F70D5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F70D5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标题 1(self) Znak"/>
    <w:basedOn w:val="Domylnaczcionkaakapitu"/>
    <w:link w:val="Nagwek1"/>
    <w:rsid w:val="004F70D5"/>
    <w:rPr>
      <w:rFonts w:ascii="Times New Roman" w:eastAsia="SimSun" w:hAnsi="Times New Roman" w:cs="Times New Roman"/>
      <w:b/>
      <w:bCs/>
      <w:kern w:val="44"/>
      <w:sz w:val="36"/>
      <w:szCs w:val="36"/>
      <w:lang w:eastAsia="zh-CN"/>
    </w:rPr>
  </w:style>
  <w:style w:type="character" w:customStyle="1" w:styleId="Nagwek2Znak">
    <w:name w:val="Nagłówek 2 Znak"/>
    <w:aliases w:val="标题 2(self) Znak"/>
    <w:basedOn w:val="Domylnaczcionkaakapitu"/>
    <w:link w:val="Nagwek2"/>
    <w:rsid w:val="004F70D5"/>
    <w:rPr>
      <w:rFonts w:ascii="Arial" w:eastAsia="Times New Roman" w:hAnsi="Arial" w:cs="Times New Roman"/>
      <w:b/>
      <w:bCs/>
      <w:color w:val="000000"/>
      <w:kern w:val="2"/>
      <w:sz w:val="28"/>
      <w:szCs w:val="24"/>
      <w:lang w:eastAsia="zh-CN"/>
    </w:rPr>
  </w:style>
  <w:style w:type="character" w:customStyle="1" w:styleId="Nagwek3Znak">
    <w:name w:val="Nagłówek 3 Znak"/>
    <w:aliases w:val="标题 3(self) Znak"/>
    <w:basedOn w:val="Domylnaczcionkaakapitu"/>
    <w:link w:val="Nagwek3"/>
    <w:rsid w:val="004F70D5"/>
    <w:rPr>
      <w:rFonts w:ascii="Times New Roman" w:eastAsia="Times New Roman" w:hAnsi="Times New Roman" w:cs="Times New Roman"/>
      <w:b/>
      <w:bCs/>
      <w:kern w:val="2"/>
      <w:sz w:val="24"/>
      <w:szCs w:val="32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4F70D5"/>
    <w:rPr>
      <w:rFonts w:asciiTheme="majorHAnsi" w:eastAsiaTheme="majorEastAsia" w:hAnsiTheme="majorHAnsi" w:cstheme="majorBidi"/>
      <w:b/>
      <w:bCs/>
      <w:kern w:val="2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4F70D5"/>
    <w:rPr>
      <w:rFonts w:ascii="Times New Roman" w:eastAsia="SimSu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4F70D5"/>
    <w:rPr>
      <w:rFonts w:asciiTheme="majorHAnsi" w:eastAsiaTheme="majorEastAsia" w:hAnsiTheme="majorHAnsi" w:cstheme="majorBidi"/>
      <w:b/>
      <w:bCs/>
      <w:kern w:val="2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4F70D5"/>
    <w:rPr>
      <w:rFonts w:ascii="Times New Roman" w:eastAsia="SimSu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4F70D5"/>
    <w:rPr>
      <w:rFonts w:asciiTheme="majorHAnsi" w:eastAsiaTheme="majorEastAsia" w:hAnsiTheme="majorHAnsi" w:cstheme="majorBidi"/>
      <w:kern w:val="2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4F70D5"/>
    <w:rPr>
      <w:rFonts w:asciiTheme="majorHAnsi" w:eastAsiaTheme="majorEastAsia" w:hAnsiTheme="majorHAnsi" w:cstheme="majorBidi"/>
      <w:kern w:val="2"/>
      <w:sz w:val="21"/>
      <w:szCs w:val="21"/>
      <w:lang w:eastAsia="zh-CN"/>
    </w:rPr>
  </w:style>
  <w:style w:type="paragraph" w:customStyle="1" w:styleId="12">
    <w:name w:val="样式 正文 1 + 首行缩进:  2 字符"/>
    <w:basedOn w:val="Normalny"/>
    <w:rsid w:val="004F70D5"/>
    <w:pPr>
      <w:widowControl/>
      <w:adjustRightInd w:val="0"/>
      <w:snapToGrid w:val="0"/>
      <w:spacing w:before="30" w:after="30" w:line="300" w:lineRule="auto"/>
      <w:ind w:left="680" w:firstLineChars="200" w:firstLine="360"/>
    </w:pPr>
    <w:rPr>
      <w:rFonts w:cs="SimSun"/>
      <w:sz w:val="18"/>
      <w:szCs w:val="20"/>
    </w:rPr>
  </w:style>
  <w:style w:type="paragraph" w:customStyle="1" w:styleId="1">
    <w:name w:val="正文 1"/>
    <w:basedOn w:val="Normalny"/>
    <w:rsid w:val="004F70D5"/>
    <w:pPr>
      <w:widowControl/>
      <w:adjustRightInd w:val="0"/>
      <w:snapToGrid w:val="0"/>
      <w:spacing w:before="80" w:after="80" w:line="360" w:lineRule="auto"/>
      <w:ind w:left="1418"/>
    </w:pPr>
    <w:rPr>
      <w:szCs w:val="20"/>
    </w:rPr>
  </w:style>
  <w:style w:type="paragraph" w:customStyle="1" w:styleId="a">
    <w:name w:val="图题"/>
    <w:basedOn w:val="1"/>
    <w:rsid w:val="004F70D5"/>
    <w:pPr>
      <w:spacing w:before="40" w:line="300" w:lineRule="auto"/>
      <w:ind w:left="5246"/>
      <w:jc w:val="center"/>
    </w:pPr>
    <w:rPr>
      <w:rFonts w:ascii="Arial" w:eastAsia="SimHei" w:hAnsi="Arial"/>
      <w:sz w:val="16"/>
    </w:rPr>
  </w:style>
  <w:style w:type="paragraph" w:customStyle="1" w:styleId="a0">
    <w:name w:val="表身（中）"/>
    <w:basedOn w:val="Normalny"/>
    <w:rsid w:val="004F70D5"/>
    <w:pPr>
      <w:widowControl/>
      <w:adjustRightInd w:val="0"/>
      <w:snapToGrid w:val="0"/>
      <w:spacing w:line="300" w:lineRule="auto"/>
      <w:jc w:val="center"/>
      <w:textAlignment w:val="center"/>
    </w:pPr>
    <w:rPr>
      <w:noProof/>
      <w:kern w:val="0"/>
      <w:sz w:val="16"/>
      <w:szCs w:val="20"/>
    </w:rPr>
  </w:style>
  <w:style w:type="paragraph" w:customStyle="1" w:styleId="a1">
    <w:name w:val="表项"/>
    <w:next w:val="Normalny"/>
    <w:rsid w:val="004F70D5"/>
    <w:pPr>
      <w:adjustRightInd w:val="0"/>
      <w:snapToGrid w:val="0"/>
      <w:spacing w:after="0" w:line="300" w:lineRule="auto"/>
      <w:jc w:val="center"/>
    </w:pPr>
    <w:rPr>
      <w:rFonts w:ascii="Arial" w:eastAsia="SimHei" w:hAnsi="Arial" w:cs="Arial"/>
      <w:iCs/>
      <w:kern w:val="2"/>
      <w:sz w:val="16"/>
      <w:szCs w:val="20"/>
      <w:lang w:eastAsia="zh-CN"/>
    </w:rPr>
  </w:style>
  <w:style w:type="paragraph" w:customStyle="1" w:styleId="a2">
    <w:name w:val="表身（左）"/>
    <w:rsid w:val="004F70D5"/>
    <w:pPr>
      <w:adjustRightInd w:val="0"/>
      <w:snapToGrid w:val="0"/>
      <w:spacing w:after="0" w:line="300" w:lineRule="auto"/>
      <w:textAlignment w:val="center"/>
    </w:pPr>
    <w:rPr>
      <w:rFonts w:ascii="Times New Roman" w:eastAsia="SimSun" w:hAnsi="Times New Roman" w:cs="Times New Roman"/>
      <w:noProof/>
      <w:sz w:val="16"/>
      <w:szCs w:val="20"/>
      <w:lang w:eastAsia="zh-CN"/>
    </w:rPr>
  </w:style>
  <w:style w:type="paragraph" w:customStyle="1" w:styleId="a3">
    <w:name w:val="框下空行"/>
    <w:basedOn w:val="1"/>
    <w:next w:val="1"/>
    <w:rsid w:val="004F70D5"/>
    <w:pPr>
      <w:spacing w:before="0" w:after="0" w:line="200" w:lineRule="exact"/>
      <w:ind w:left="680" w:firstLineChars="200" w:firstLine="200"/>
    </w:pPr>
    <w:rPr>
      <w:sz w:val="18"/>
    </w:rPr>
  </w:style>
  <w:style w:type="paragraph" w:styleId="Legenda">
    <w:name w:val="caption"/>
    <w:basedOn w:val="Normalny"/>
    <w:next w:val="Normalny"/>
    <w:unhideWhenUsed/>
    <w:rsid w:val="004F70D5"/>
    <w:rPr>
      <w:rFonts w:asciiTheme="majorHAnsi" w:eastAsia="SimHei" w:hAnsiTheme="majorHAnsi" w:cstheme="maj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5"/>
    <w:rPr>
      <w:rFonts w:ascii="Tahoma" w:eastAsia="SimSu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0D5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Nagwek1">
    <w:name w:val="heading 1"/>
    <w:aliases w:val="标题 1(self)"/>
    <w:basedOn w:val="Normalny"/>
    <w:next w:val="Normalny"/>
    <w:link w:val="Nagwek1Znak"/>
    <w:autoRedefine/>
    <w:qFormat/>
    <w:rsid w:val="004F70D5"/>
    <w:pPr>
      <w:keepNext/>
      <w:keepLines/>
      <w:numPr>
        <w:numId w:val="1"/>
      </w:numPr>
      <w:spacing w:before="120" w:afterLines="50"/>
      <w:ind w:left="432"/>
      <w:jc w:val="center"/>
      <w:outlineLvl w:val="0"/>
    </w:pPr>
    <w:rPr>
      <w:b/>
      <w:bCs/>
      <w:kern w:val="44"/>
      <w:sz w:val="36"/>
      <w:szCs w:val="36"/>
    </w:rPr>
  </w:style>
  <w:style w:type="paragraph" w:styleId="Nagwek2">
    <w:name w:val="heading 2"/>
    <w:aliases w:val="标题 2(self)"/>
    <w:basedOn w:val="Normalny"/>
    <w:next w:val="Normalny"/>
    <w:link w:val="Nagwek2Znak"/>
    <w:qFormat/>
    <w:rsid w:val="004F70D5"/>
    <w:pPr>
      <w:keepNext/>
      <w:numPr>
        <w:ilvl w:val="1"/>
        <w:numId w:val="1"/>
      </w:numPr>
      <w:adjustRightInd w:val="0"/>
      <w:snapToGrid w:val="0"/>
      <w:spacing w:beforeLines="100" w:afterLines="100"/>
      <w:outlineLvl w:val="1"/>
    </w:pPr>
    <w:rPr>
      <w:rFonts w:ascii="Arial" w:eastAsia="Times New Roman" w:hAnsi="Arial"/>
      <w:b/>
      <w:bCs/>
      <w:color w:val="000000"/>
      <w:sz w:val="28"/>
    </w:rPr>
  </w:style>
  <w:style w:type="paragraph" w:styleId="Nagwek3">
    <w:name w:val="heading 3"/>
    <w:aliases w:val="标题 3(self)"/>
    <w:basedOn w:val="Normalny"/>
    <w:next w:val="Normalny"/>
    <w:link w:val="Nagwek3Znak"/>
    <w:qFormat/>
    <w:rsid w:val="004F70D5"/>
    <w:pPr>
      <w:keepNext/>
      <w:keepLines/>
      <w:numPr>
        <w:ilvl w:val="2"/>
        <w:numId w:val="1"/>
      </w:numPr>
      <w:spacing w:before="240" w:after="240"/>
      <w:outlineLvl w:val="2"/>
    </w:pPr>
    <w:rPr>
      <w:rFonts w:eastAsia="Times New Roman"/>
      <w:b/>
      <w:bCs/>
      <w:sz w:val="24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F70D5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F70D5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F70D5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F70D5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F70D5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F70D5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标题 1(self) Znak"/>
    <w:basedOn w:val="Domylnaczcionkaakapitu"/>
    <w:link w:val="Nagwek1"/>
    <w:rsid w:val="004F70D5"/>
    <w:rPr>
      <w:rFonts w:ascii="Times New Roman" w:eastAsia="SimSun" w:hAnsi="Times New Roman" w:cs="Times New Roman"/>
      <w:b/>
      <w:bCs/>
      <w:kern w:val="44"/>
      <w:sz w:val="36"/>
      <w:szCs w:val="36"/>
      <w:lang w:eastAsia="zh-CN"/>
    </w:rPr>
  </w:style>
  <w:style w:type="character" w:customStyle="1" w:styleId="Nagwek2Znak">
    <w:name w:val="Nagłówek 2 Znak"/>
    <w:aliases w:val="标题 2(self) Znak"/>
    <w:basedOn w:val="Domylnaczcionkaakapitu"/>
    <w:link w:val="Nagwek2"/>
    <w:rsid w:val="004F70D5"/>
    <w:rPr>
      <w:rFonts w:ascii="Arial" w:eastAsia="Times New Roman" w:hAnsi="Arial" w:cs="Times New Roman"/>
      <w:b/>
      <w:bCs/>
      <w:color w:val="000000"/>
      <w:kern w:val="2"/>
      <w:sz w:val="28"/>
      <w:szCs w:val="24"/>
      <w:lang w:eastAsia="zh-CN"/>
    </w:rPr>
  </w:style>
  <w:style w:type="character" w:customStyle="1" w:styleId="Nagwek3Znak">
    <w:name w:val="Nagłówek 3 Znak"/>
    <w:aliases w:val="标题 3(self) Znak"/>
    <w:basedOn w:val="Domylnaczcionkaakapitu"/>
    <w:link w:val="Nagwek3"/>
    <w:rsid w:val="004F70D5"/>
    <w:rPr>
      <w:rFonts w:ascii="Times New Roman" w:eastAsia="Times New Roman" w:hAnsi="Times New Roman" w:cs="Times New Roman"/>
      <w:b/>
      <w:bCs/>
      <w:kern w:val="2"/>
      <w:sz w:val="24"/>
      <w:szCs w:val="32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4F70D5"/>
    <w:rPr>
      <w:rFonts w:asciiTheme="majorHAnsi" w:eastAsiaTheme="majorEastAsia" w:hAnsiTheme="majorHAnsi" w:cstheme="majorBidi"/>
      <w:b/>
      <w:bCs/>
      <w:kern w:val="2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4F70D5"/>
    <w:rPr>
      <w:rFonts w:ascii="Times New Roman" w:eastAsia="SimSu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4F70D5"/>
    <w:rPr>
      <w:rFonts w:asciiTheme="majorHAnsi" w:eastAsiaTheme="majorEastAsia" w:hAnsiTheme="majorHAnsi" w:cstheme="majorBidi"/>
      <w:b/>
      <w:bCs/>
      <w:kern w:val="2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4F70D5"/>
    <w:rPr>
      <w:rFonts w:ascii="Times New Roman" w:eastAsia="SimSu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4F70D5"/>
    <w:rPr>
      <w:rFonts w:asciiTheme="majorHAnsi" w:eastAsiaTheme="majorEastAsia" w:hAnsiTheme="majorHAnsi" w:cstheme="majorBidi"/>
      <w:kern w:val="2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4F70D5"/>
    <w:rPr>
      <w:rFonts w:asciiTheme="majorHAnsi" w:eastAsiaTheme="majorEastAsia" w:hAnsiTheme="majorHAnsi" w:cstheme="majorBidi"/>
      <w:kern w:val="2"/>
      <w:sz w:val="21"/>
      <w:szCs w:val="21"/>
      <w:lang w:eastAsia="zh-CN"/>
    </w:rPr>
  </w:style>
  <w:style w:type="paragraph" w:customStyle="1" w:styleId="12">
    <w:name w:val="样式 正文 1 + 首行缩进:  2 字符"/>
    <w:basedOn w:val="Normalny"/>
    <w:rsid w:val="004F70D5"/>
    <w:pPr>
      <w:widowControl/>
      <w:adjustRightInd w:val="0"/>
      <w:snapToGrid w:val="0"/>
      <w:spacing w:before="30" w:after="30" w:line="300" w:lineRule="auto"/>
      <w:ind w:left="680" w:firstLineChars="200" w:firstLine="360"/>
    </w:pPr>
    <w:rPr>
      <w:rFonts w:cs="SimSun"/>
      <w:sz w:val="18"/>
      <w:szCs w:val="20"/>
    </w:rPr>
  </w:style>
  <w:style w:type="paragraph" w:customStyle="1" w:styleId="1">
    <w:name w:val="正文 1"/>
    <w:basedOn w:val="Normalny"/>
    <w:rsid w:val="004F70D5"/>
    <w:pPr>
      <w:widowControl/>
      <w:adjustRightInd w:val="0"/>
      <w:snapToGrid w:val="0"/>
      <w:spacing w:before="80" w:after="80" w:line="360" w:lineRule="auto"/>
      <w:ind w:left="1418"/>
    </w:pPr>
    <w:rPr>
      <w:szCs w:val="20"/>
    </w:rPr>
  </w:style>
  <w:style w:type="paragraph" w:customStyle="1" w:styleId="a">
    <w:name w:val="图题"/>
    <w:basedOn w:val="1"/>
    <w:rsid w:val="004F70D5"/>
    <w:pPr>
      <w:spacing w:before="40" w:line="300" w:lineRule="auto"/>
      <w:ind w:left="5246"/>
      <w:jc w:val="center"/>
    </w:pPr>
    <w:rPr>
      <w:rFonts w:ascii="Arial" w:eastAsia="SimHei" w:hAnsi="Arial"/>
      <w:sz w:val="16"/>
    </w:rPr>
  </w:style>
  <w:style w:type="paragraph" w:customStyle="1" w:styleId="a0">
    <w:name w:val="表身（中）"/>
    <w:basedOn w:val="Normalny"/>
    <w:rsid w:val="004F70D5"/>
    <w:pPr>
      <w:widowControl/>
      <w:adjustRightInd w:val="0"/>
      <w:snapToGrid w:val="0"/>
      <w:spacing w:line="300" w:lineRule="auto"/>
      <w:jc w:val="center"/>
      <w:textAlignment w:val="center"/>
    </w:pPr>
    <w:rPr>
      <w:noProof/>
      <w:kern w:val="0"/>
      <w:sz w:val="16"/>
      <w:szCs w:val="20"/>
    </w:rPr>
  </w:style>
  <w:style w:type="paragraph" w:customStyle="1" w:styleId="a1">
    <w:name w:val="表项"/>
    <w:next w:val="Normalny"/>
    <w:rsid w:val="004F70D5"/>
    <w:pPr>
      <w:adjustRightInd w:val="0"/>
      <w:snapToGrid w:val="0"/>
      <w:spacing w:after="0" w:line="300" w:lineRule="auto"/>
      <w:jc w:val="center"/>
    </w:pPr>
    <w:rPr>
      <w:rFonts w:ascii="Arial" w:eastAsia="SimHei" w:hAnsi="Arial" w:cs="Arial"/>
      <w:iCs/>
      <w:kern w:val="2"/>
      <w:sz w:val="16"/>
      <w:szCs w:val="20"/>
      <w:lang w:eastAsia="zh-CN"/>
    </w:rPr>
  </w:style>
  <w:style w:type="paragraph" w:customStyle="1" w:styleId="a2">
    <w:name w:val="表身（左）"/>
    <w:rsid w:val="004F70D5"/>
    <w:pPr>
      <w:adjustRightInd w:val="0"/>
      <w:snapToGrid w:val="0"/>
      <w:spacing w:after="0" w:line="300" w:lineRule="auto"/>
      <w:textAlignment w:val="center"/>
    </w:pPr>
    <w:rPr>
      <w:rFonts w:ascii="Times New Roman" w:eastAsia="SimSun" w:hAnsi="Times New Roman" w:cs="Times New Roman"/>
      <w:noProof/>
      <w:sz w:val="16"/>
      <w:szCs w:val="20"/>
      <w:lang w:eastAsia="zh-CN"/>
    </w:rPr>
  </w:style>
  <w:style w:type="paragraph" w:customStyle="1" w:styleId="a3">
    <w:name w:val="框下空行"/>
    <w:basedOn w:val="1"/>
    <w:next w:val="1"/>
    <w:rsid w:val="004F70D5"/>
    <w:pPr>
      <w:spacing w:before="0" w:after="0" w:line="200" w:lineRule="exact"/>
      <w:ind w:left="680" w:firstLineChars="200" w:firstLine="200"/>
    </w:pPr>
    <w:rPr>
      <w:sz w:val="18"/>
    </w:rPr>
  </w:style>
  <w:style w:type="paragraph" w:styleId="Legenda">
    <w:name w:val="caption"/>
    <w:basedOn w:val="Normalny"/>
    <w:next w:val="Normalny"/>
    <w:unhideWhenUsed/>
    <w:rsid w:val="004F70D5"/>
    <w:rPr>
      <w:rFonts w:asciiTheme="majorHAnsi" w:eastAsia="SimHei" w:hAnsiTheme="majorHAnsi" w:cstheme="maj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5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Makarewicz</dc:creator>
  <cp:lastModifiedBy>Robert Makarewicz</cp:lastModifiedBy>
  <cp:revision>3</cp:revision>
  <dcterms:created xsi:type="dcterms:W3CDTF">2021-06-25T13:22:00Z</dcterms:created>
  <dcterms:modified xsi:type="dcterms:W3CDTF">2021-06-25T13:43:00Z</dcterms:modified>
</cp:coreProperties>
</file>